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246"/>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200"/>
      </w:tblGrid>
      <w:tr w:rsidR="006E6A7A" w14:paraId="0BEC9452" w14:textId="77777777" w:rsidTr="00475ED6">
        <w:trPr>
          <w:trHeight w:val="3006"/>
        </w:trPr>
        <w:tc>
          <w:tcPr>
            <w:tcW w:w="3150" w:type="dxa"/>
            <w:tcMar>
              <w:top w:w="144" w:type="dxa"/>
              <w:left w:w="115" w:type="dxa"/>
              <w:right w:w="115" w:type="dxa"/>
            </w:tcMar>
          </w:tcPr>
          <w:p w14:paraId="78D4D802" w14:textId="77777777" w:rsidR="006E6A7A" w:rsidRDefault="006E6A7A" w:rsidP="00475ED6">
            <w:pPr>
              <w:rPr>
                <w:rFonts w:ascii="Franklin Gothic Demi" w:hAnsi="Franklin Gothic Demi"/>
                <w:sz w:val="72"/>
                <w:szCs w:val="72"/>
              </w:rPr>
            </w:pPr>
            <w:r>
              <w:rPr>
                <w:rFonts w:ascii="Franklin Gothic Demi" w:hAnsi="Franklin Gothic Demi"/>
                <w:noProof/>
                <w:sz w:val="72"/>
                <w:szCs w:val="72"/>
              </w:rPr>
              <w:drawing>
                <wp:inline distT="0" distB="0" distL="0" distR="0" wp14:anchorId="5226A748" wp14:editId="2FEC4781">
                  <wp:extent cx="1720065" cy="1185068"/>
                  <wp:effectExtent l="19050" t="19050" r="13970"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aled ducts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0065" cy="1185068"/>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186FCDD9" w14:textId="77777777" w:rsidR="002E34E5" w:rsidRDefault="002E34E5" w:rsidP="00475ED6">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1438C0E5" w14:textId="77777777" w:rsidR="00483641" w:rsidRPr="00475ED6" w:rsidRDefault="00475ED6" w:rsidP="00475ED6">
            <w:pPr>
              <w:rPr>
                <w:rFonts w:ascii="Franklin Gothic Book" w:eastAsia="Times New Roman" w:hAnsi="Franklin Gothic Book" w:cs="Arial"/>
                <w:color w:val="000000"/>
                <w:sz w:val="20"/>
                <w:szCs w:val="20"/>
              </w:rPr>
            </w:pPr>
            <w:r w:rsidRPr="00475ED6">
              <w:rPr>
                <w:rFonts w:ascii="Franklin Gothic Book" w:eastAsia="Times New Roman" w:hAnsi="Franklin Gothic Book" w:cs="Arial"/>
                <w:color w:val="000000"/>
                <w:sz w:val="20"/>
                <w:szCs w:val="20"/>
              </w:rPr>
              <w:t xml:space="preserve">Water-conserving fixtures reduce water usage as well as the amount of energy needed to heat that water, and these faucets provide the same experience as typical fixtures. The EPA </w:t>
            </w:r>
            <w:proofErr w:type="spellStart"/>
            <w:r w:rsidRPr="00475ED6">
              <w:rPr>
                <w:rFonts w:ascii="Franklin Gothic Book" w:eastAsia="Times New Roman" w:hAnsi="Franklin Gothic Book" w:cs="Arial"/>
                <w:color w:val="000000"/>
                <w:sz w:val="20"/>
                <w:szCs w:val="20"/>
              </w:rPr>
              <w:t>WaterSense</w:t>
            </w:r>
            <w:proofErr w:type="spellEnd"/>
            <w:r w:rsidRPr="00475ED6">
              <w:rPr>
                <w:rFonts w:ascii="Franklin Gothic Book" w:eastAsia="Times New Roman" w:hAnsi="Franklin Gothic Book" w:cs="Arial"/>
                <w:color w:val="000000"/>
                <w:sz w:val="20"/>
                <w:szCs w:val="20"/>
              </w:rPr>
              <w:t xml:space="preserve"> label takes the guesswork out of choosing the right fixture.</w:t>
            </w:r>
          </w:p>
          <w:p w14:paraId="604CDA78" w14:textId="77777777" w:rsidR="006E6A7A" w:rsidRPr="003673DD" w:rsidRDefault="00475ED6" w:rsidP="00475ED6">
            <w:pPr>
              <w:pStyle w:val="ListParagraph"/>
              <w:ind w:left="360"/>
              <w:rPr>
                <w:rFonts w:ascii="Franklin Gothic Book" w:eastAsia="Times New Roman" w:hAnsi="Franklin Gothic Book" w:cs="Arial"/>
                <w:color w:val="000000"/>
                <w:sz w:val="22"/>
                <w:szCs w:val="22"/>
                <w:lang w:eastAsia="en-US"/>
              </w:rPr>
            </w:pPr>
            <w:r>
              <w:rPr>
                <w:rFonts w:ascii="Franklin Gothic Demi" w:hAnsi="Franklin Gothic Demi"/>
                <w:noProof/>
                <w:color w:val="000000" w:themeColor="text1"/>
                <w:sz w:val="56"/>
                <w:szCs w:val="56"/>
              </w:rPr>
              <mc:AlternateContent>
                <mc:Choice Requires="wps">
                  <w:drawing>
                    <wp:anchor distT="0" distB="0" distL="114300" distR="114300" simplePos="0" relativeHeight="251661312" behindDoc="0" locked="0" layoutInCell="1" allowOverlap="1" wp14:anchorId="167FEB3E" wp14:editId="44707906">
                      <wp:simplePos x="0" y="0"/>
                      <wp:positionH relativeFrom="column">
                        <wp:posOffset>20486</wp:posOffset>
                      </wp:positionH>
                      <wp:positionV relativeFrom="paragraph">
                        <wp:posOffset>115736</wp:posOffset>
                      </wp:positionV>
                      <wp:extent cx="768626" cy="666318"/>
                      <wp:effectExtent l="0" t="0" r="12700" b="19685"/>
                      <wp:wrapNone/>
                      <wp:docPr id="12" name="Rectangle 6"/>
                      <wp:cNvGraphicFramePr/>
                      <a:graphic xmlns:a="http://schemas.openxmlformats.org/drawingml/2006/main">
                        <a:graphicData uri="http://schemas.microsoft.com/office/word/2010/wordprocessingShape">
                          <wps:wsp>
                            <wps:cNvSpPr/>
                            <wps:spPr>
                              <a:xfrm>
                                <a:off x="0" y="0"/>
                                <a:ext cx="768626" cy="666318"/>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D80381" id="Rectangle 6" o:spid="_x0000_s1026" style="position:absolute;margin-left:1.6pt;margin-top:9.1pt;width:60.5pt;height:52.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" fillcolor="window" strokecolor="#bfbfbf" strokeweight="1pt"/>
                  </w:pict>
                </mc:Fallback>
              </mc:AlternateContent>
            </w:r>
          </w:p>
          <w:p w14:paraId="7F662028" w14:textId="77777777" w:rsidR="006E6A7A" w:rsidRPr="00054492" w:rsidRDefault="00475ED6" w:rsidP="00475ED6">
            <w:pPr>
              <w:rPr>
                <w:rFonts w:ascii="Franklin Gothic Demi" w:hAnsi="Franklin Gothic Demi"/>
                <w:sz w:val="16"/>
                <w:szCs w:val="16"/>
              </w:rPr>
            </w:pPr>
            <w:r>
              <w:rPr>
                <w:rFonts w:ascii="Franklin Gothic Demi" w:hAnsi="Franklin Gothic Demi"/>
                <w:noProof/>
                <w:color w:val="000000" w:themeColor="text1"/>
                <w:sz w:val="56"/>
                <w:szCs w:val="56"/>
              </w:rPr>
              <w:drawing>
                <wp:anchor distT="0" distB="0" distL="114300" distR="114300" simplePos="0" relativeHeight="251663360" behindDoc="0" locked="0" layoutInCell="1" allowOverlap="1" wp14:anchorId="29DFAA4E" wp14:editId="333507DD">
                  <wp:simplePos x="0" y="0"/>
                  <wp:positionH relativeFrom="column">
                    <wp:posOffset>190183</wp:posOffset>
                  </wp:positionH>
                  <wp:positionV relativeFrom="paragraph">
                    <wp:posOffset>35560</wp:posOffset>
                  </wp:positionV>
                  <wp:extent cx="431799" cy="582930"/>
                  <wp:effectExtent l="0" t="0" r="6985"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799" cy="582930"/>
                          </a:xfrm>
                          <a:prstGeom prst="rect">
                            <a:avLst/>
                          </a:prstGeom>
                        </pic:spPr>
                      </pic:pic>
                    </a:graphicData>
                  </a:graphic>
                  <wp14:sizeRelH relativeFrom="page">
                    <wp14:pctWidth>0</wp14:pctWidth>
                  </wp14:sizeRelH>
                  <wp14:sizeRelV relativeFrom="page">
                    <wp14:pctHeight>0</wp14:pctHeight>
                  </wp14:sizeRelV>
                </wp:anchor>
              </w:drawing>
            </w:r>
          </w:p>
        </w:tc>
      </w:tr>
      <w:tr w:rsidR="006E6A7A" w14:paraId="4C8A99E4" w14:textId="77777777" w:rsidTr="00A43998">
        <w:trPr>
          <w:trHeight w:val="2181"/>
        </w:trPr>
        <w:tc>
          <w:tcPr>
            <w:tcW w:w="3150" w:type="dxa"/>
            <w:tcMar>
              <w:top w:w="144" w:type="dxa"/>
              <w:left w:w="115" w:type="dxa"/>
              <w:right w:w="115" w:type="dxa"/>
            </w:tcMar>
          </w:tcPr>
          <w:p w14:paraId="0E02D5F3" w14:textId="77777777" w:rsidR="006E6A7A" w:rsidRDefault="006E6A7A" w:rsidP="00475ED6">
            <w:pPr>
              <w:jc w:val="center"/>
              <w:rPr>
                <w:rFonts w:ascii="Franklin Gothic Demi" w:hAnsi="Franklin Gothic Demi"/>
                <w:sz w:val="72"/>
                <w:szCs w:val="72"/>
              </w:rPr>
            </w:pPr>
            <w:r>
              <w:rPr>
                <w:rFonts w:ascii="Franklin Gothic Demi" w:hAnsi="Franklin Gothic Demi"/>
                <w:noProof/>
                <w:sz w:val="72"/>
                <w:szCs w:val="72"/>
              </w:rPr>
              <w:drawing>
                <wp:inline distT="0" distB="0" distL="0" distR="0" wp14:anchorId="6D84386F" wp14:editId="0475DFB5">
                  <wp:extent cx="1164149" cy="1171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stic duct.jpg"/>
                          <pic:cNvPicPr/>
                        </pic:nvPicPr>
                        <pic:blipFill>
                          <a:blip r:embed="rId9">
                            <a:extLst>
                              <a:ext uri="{28A0092B-C50C-407E-A947-70E740481C1C}">
                                <a14:useLocalDpi xmlns:a14="http://schemas.microsoft.com/office/drawing/2010/main" val="0"/>
                              </a:ext>
                            </a:extLst>
                          </a:blip>
                          <a:stretch>
                            <a:fillRect/>
                          </a:stretch>
                        </pic:blipFill>
                        <pic:spPr>
                          <a:xfrm>
                            <a:off x="0" y="0"/>
                            <a:ext cx="1164149" cy="1171425"/>
                          </a:xfrm>
                          <a:prstGeom prst="rect">
                            <a:avLst/>
                          </a:prstGeom>
                          <a:ln>
                            <a:noFill/>
                          </a:ln>
                        </pic:spPr>
                      </pic:pic>
                    </a:graphicData>
                  </a:graphic>
                </wp:inline>
              </w:drawing>
            </w:r>
          </w:p>
        </w:tc>
        <w:tc>
          <w:tcPr>
            <w:tcW w:w="6200" w:type="dxa"/>
            <w:tcMar>
              <w:top w:w="144" w:type="dxa"/>
              <w:left w:w="115" w:type="dxa"/>
              <w:right w:w="115" w:type="dxa"/>
            </w:tcMar>
          </w:tcPr>
          <w:p w14:paraId="1DD67BAF" w14:textId="77777777" w:rsidR="006E2FD5" w:rsidRDefault="006E2FD5" w:rsidP="00475ED6">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4853A916" w14:textId="77777777" w:rsidR="006E6A7A" w:rsidRPr="007E18AD" w:rsidRDefault="00475ED6" w:rsidP="00475ED6">
            <w:pPr>
              <w:pStyle w:val="NormalWeb"/>
              <w:shd w:val="clear" w:color="auto" w:fill="FFFFFF"/>
              <w:spacing w:before="0" w:beforeAutospacing="0" w:after="195" w:afterAutospacing="0"/>
              <w:rPr>
                <w:rFonts w:ascii="Arial" w:hAnsi="Arial" w:cs="Arial"/>
                <w:color w:val="000000"/>
                <w:sz w:val="20"/>
                <w:szCs w:val="20"/>
              </w:rPr>
            </w:pPr>
            <w:r w:rsidRPr="00475ED6">
              <w:rPr>
                <w:rFonts w:ascii="Franklin Gothic Book" w:hAnsi="Franklin Gothic Book" w:cs="Arial"/>
                <w:color w:val="000000"/>
                <w:sz w:val="20"/>
                <w:szCs w:val="20"/>
              </w:rPr>
              <w:t xml:space="preserve">Bathroom sink and kitchen sink faucets account for approximately 15.7 percent of U.S. indoor residential water use every year, or about 1.1 trillion gallons of water used across the country. With a retrofit, replacing faucets and faucet accessories with </w:t>
            </w:r>
            <w:proofErr w:type="spellStart"/>
            <w:r w:rsidRPr="00475ED6">
              <w:rPr>
                <w:rFonts w:ascii="Franklin Gothic Book" w:hAnsi="Franklin Gothic Book" w:cs="Arial"/>
                <w:color w:val="000000"/>
                <w:sz w:val="20"/>
                <w:szCs w:val="20"/>
              </w:rPr>
              <w:t>WaterSense</w:t>
            </w:r>
            <w:proofErr w:type="spellEnd"/>
            <w:r w:rsidRPr="00475ED6">
              <w:rPr>
                <w:rFonts w:ascii="Franklin Gothic Book" w:hAnsi="Franklin Gothic Book" w:cs="Arial"/>
                <w:color w:val="000000"/>
                <w:sz w:val="20"/>
                <w:szCs w:val="20"/>
              </w:rPr>
              <w:t xml:space="preserve">-certified models can save 700 gallons per year, which is equal to 40 showers’ worth of water.  </w:t>
            </w:r>
          </w:p>
        </w:tc>
      </w:tr>
      <w:tr w:rsidR="006E6A7A" w14:paraId="3719BF8F" w14:textId="77777777" w:rsidTr="00475ED6">
        <w:tc>
          <w:tcPr>
            <w:tcW w:w="3150" w:type="dxa"/>
            <w:tcMar>
              <w:top w:w="144" w:type="dxa"/>
              <w:left w:w="115" w:type="dxa"/>
              <w:right w:w="115" w:type="dxa"/>
            </w:tcMar>
          </w:tcPr>
          <w:p w14:paraId="7C3EA50E" w14:textId="77777777" w:rsidR="006E6A7A" w:rsidRDefault="006E6A7A" w:rsidP="00475ED6">
            <w:pPr>
              <w:rPr>
                <w:rFonts w:ascii="Franklin Gothic Demi" w:hAnsi="Franklin Gothic Demi"/>
                <w:sz w:val="72"/>
                <w:szCs w:val="72"/>
              </w:rPr>
            </w:pPr>
            <w:r>
              <w:rPr>
                <w:rFonts w:ascii="Franklin Gothic Demi" w:hAnsi="Franklin Gothic Demi"/>
                <w:noProof/>
                <w:sz w:val="72"/>
                <w:szCs w:val="72"/>
              </w:rPr>
              <w:drawing>
                <wp:inline distT="0" distB="0" distL="0" distR="0" wp14:anchorId="3913CD17" wp14:editId="47AFB6E2">
                  <wp:extent cx="1719072" cy="906911"/>
                  <wp:effectExtent l="19050" t="19050" r="14605"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enum mastic.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19072" cy="906911"/>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0A4EF324" w14:textId="77777777" w:rsidR="006E2FD5" w:rsidRDefault="006E2FD5" w:rsidP="00475ED6">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11D252AB" w14:textId="77777777" w:rsidR="00475ED6" w:rsidRPr="00475ED6" w:rsidRDefault="00475ED6" w:rsidP="00475ED6">
            <w:pPr>
              <w:pStyle w:val="NormalWeb"/>
              <w:shd w:val="clear" w:color="auto" w:fill="FFFFFF"/>
              <w:spacing w:after="0"/>
              <w:rPr>
                <w:rFonts w:ascii="Franklin Gothic Book" w:hAnsi="Franklin Gothic Book" w:cs="Arial"/>
                <w:color w:val="000000"/>
                <w:sz w:val="20"/>
                <w:szCs w:val="20"/>
              </w:rPr>
            </w:pPr>
            <w:r w:rsidRPr="00475ED6">
              <w:rPr>
                <w:rFonts w:ascii="Franklin Gothic Book" w:hAnsi="Franklin Gothic Book" w:cs="Arial"/>
                <w:color w:val="000000"/>
                <w:sz w:val="20"/>
                <w:szCs w:val="20"/>
              </w:rPr>
              <w:t xml:space="preserve">For a new home or retrofit project to earn the </w:t>
            </w:r>
            <w:proofErr w:type="spellStart"/>
            <w:r w:rsidRPr="00475ED6">
              <w:rPr>
                <w:rFonts w:ascii="Franklin Gothic Book" w:hAnsi="Franklin Gothic Book" w:cs="Arial"/>
                <w:color w:val="000000"/>
                <w:sz w:val="20"/>
                <w:szCs w:val="20"/>
              </w:rPr>
              <w:t>WaterSense</w:t>
            </w:r>
            <w:proofErr w:type="spellEnd"/>
            <w:r w:rsidRPr="00475ED6">
              <w:rPr>
                <w:rFonts w:ascii="Franklin Gothic Book" w:hAnsi="Franklin Gothic Book" w:cs="Arial"/>
                <w:color w:val="000000"/>
                <w:sz w:val="20"/>
                <w:szCs w:val="20"/>
              </w:rPr>
              <w:t xml:space="preserve">® label, all bathroom and kitchen sink faucets or faucet accessories must be </w:t>
            </w:r>
            <w:proofErr w:type="spellStart"/>
            <w:r w:rsidRPr="00475ED6">
              <w:rPr>
                <w:rFonts w:ascii="Franklin Gothic Book" w:hAnsi="Franklin Gothic Book" w:cs="Arial"/>
                <w:color w:val="000000"/>
                <w:sz w:val="20"/>
                <w:szCs w:val="20"/>
              </w:rPr>
              <w:t>WaterSense</w:t>
            </w:r>
            <w:proofErr w:type="spellEnd"/>
            <w:r w:rsidRPr="00475ED6">
              <w:rPr>
                <w:rFonts w:ascii="Franklin Gothic Book" w:hAnsi="Franklin Gothic Book" w:cs="Arial"/>
                <w:color w:val="000000"/>
                <w:sz w:val="20"/>
                <w:szCs w:val="20"/>
              </w:rPr>
              <w:t xml:space="preserve">-certified. A faucet accessory is a device that can be added to or removed from a sink faucet (typically, it screws onto the tip of the faucet spout). These usually serve as the flow control mechanism that determines if a faucet meets the minimum and maximum flow rate requirements of the </w:t>
            </w:r>
            <w:proofErr w:type="spellStart"/>
            <w:r w:rsidRPr="00475ED6">
              <w:rPr>
                <w:rFonts w:ascii="Franklin Gothic Book" w:hAnsi="Franklin Gothic Book" w:cs="Arial"/>
                <w:color w:val="000000"/>
                <w:sz w:val="20"/>
                <w:szCs w:val="20"/>
              </w:rPr>
              <w:t>WaterSense</w:t>
            </w:r>
            <w:proofErr w:type="spellEnd"/>
            <w:r w:rsidRPr="00475ED6">
              <w:rPr>
                <w:rFonts w:ascii="Franklin Gothic Book" w:hAnsi="Franklin Gothic Book" w:cs="Arial"/>
                <w:color w:val="000000"/>
                <w:sz w:val="20"/>
                <w:szCs w:val="20"/>
              </w:rPr>
              <w:t xml:space="preserve"> specification. </w:t>
            </w:r>
          </w:p>
          <w:p w14:paraId="4CBA3280" w14:textId="77777777" w:rsidR="00475ED6" w:rsidRPr="00475ED6" w:rsidRDefault="00475ED6" w:rsidP="00AC422F">
            <w:pPr>
              <w:pStyle w:val="NormalWeb"/>
              <w:numPr>
                <w:ilvl w:val="0"/>
                <w:numId w:val="3"/>
              </w:numPr>
              <w:shd w:val="clear" w:color="auto" w:fill="FFFFFF"/>
              <w:spacing w:after="0"/>
              <w:rPr>
                <w:rFonts w:ascii="Franklin Gothic Book" w:hAnsi="Franklin Gothic Book" w:cs="Arial"/>
                <w:color w:val="000000"/>
                <w:sz w:val="20"/>
                <w:szCs w:val="20"/>
              </w:rPr>
            </w:pPr>
            <w:r w:rsidRPr="00475ED6">
              <w:rPr>
                <w:rFonts w:ascii="Franklin Gothic Book" w:hAnsi="Franklin Gothic Book" w:cs="Arial"/>
                <w:color w:val="000000"/>
                <w:sz w:val="20"/>
                <w:szCs w:val="20"/>
              </w:rPr>
              <w:t xml:space="preserve">All bathroom faucets must have a flow rate that does not exceed 1.5 </w:t>
            </w:r>
            <w:proofErr w:type="spellStart"/>
            <w:r w:rsidRPr="00475ED6">
              <w:rPr>
                <w:rFonts w:ascii="Franklin Gothic Book" w:hAnsi="Franklin Gothic Book" w:cs="Arial"/>
                <w:color w:val="000000"/>
                <w:sz w:val="20"/>
                <w:szCs w:val="20"/>
              </w:rPr>
              <w:t>gpm</w:t>
            </w:r>
            <w:proofErr w:type="spellEnd"/>
            <w:r w:rsidRPr="00475ED6">
              <w:rPr>
                <w:rFonts w:ascii="Franklin Gothic Book" w:hAnsi="Franklin Gothic Book" w:cs="Arial"/>
                <w:color w:val="000000"/>
                <w:sz w:val="20"/>
                <w:szCs w:val="20"/>
              </w:rPr>
              <w:t xml:space="preserve"> (5.7 liters per minute [lpm]) at a pressure of 60 psi (414 kPa) at the inlet when water is flowing; a flow test does not exceed 0.25gal. Also, the flow rate should be no less than 0.8 </w:t>
            </w:r>
            <w:proofErr w:type="spellStart"/>
            <w:r w:rsidRPr="00475ED6">
              <w:rPr>
                <w:rFonts w:ascii="Franklin Gothic Book" w:hAnsi="Franklin Gothic Book" w:cs="Arial"/>
                <w:color w:val="000000"/>
                <w:sz w:val="20"/>
                <w:szCs w:val="20"/>
              </w:rPr>
              <w:t>gpm</w:t>
            </w:r>
            <w:proofErr w:type="spellEnd"/>
            <w:r w:rsidRPr="00475ED6">
              <w:rPr>
                <w:rFonts w:ascii="Franklin Gothic Book" w:hAnsi="Franklin Gothic Book" w:cs="Arial"/>
                <w:color w:val="000000"/>
                <w:sz w:val="20"/>
                <w:szCs w:val="20"/>
              </w:rPr>
              <w:t xml:space="preserve"> (3.0 lpm) at a pressure of 20 psi (138 kPa) at the inlet when water is flowing.</w:t>
            </w:r>
          </w:p>
          <w:p w14:paraId="1E30442D" w14:textId="77777777" w:rsidR="00475ED6" w:rsidRPr="00475ED6" w:rsidRDefault="00475ED6" w:rsidP="00AC422F">
            <w:pPr>
              <w:pStyle w:val="NormalWeb"/>
              <w:numPr>
                <w:ilvl w:val="0"/>
                <w:numId w:val="3"/>
              </w:numPr>
              <w:shd w:val="clear" w:color="auto" w:fill="FFFFFF"/>
              <w:spacing w:after="0"/>
              <w:rPr>
                <w:rFonts w:ascii="Franklin Gothic Book" w:hAnsi="Franklin Gothic Book" w:cs="Arial"/>
                <w:color w:val="000000"/>
                <w:sz w:val="20"/>
                <w:szCs w:val="20"/>
              </w:rPr>
            </w:pPr>
            <w:r w:rsidRPr="00475ED6">
              <w:rPr>
                <w:rFonts w:ascii="Franklin Gothic Book" w:hAnsi="Franklin Gothic Book" w:cs="Arial"/>
                <w:color w:val="000000"/>
                <w:sz w:val="20"/>
                <w:szCs w:val="20"/>
              </w:rPr>
              <w:t xml:space="preserve">All kitchen sink faucets should comply with federal standards for a maximum flow rate of 2.2 </w:t>
            </w:r>
            <w:proofErr w:type="spellStart"/>
            <w:r w:rsidRPr="00475ED6">
              <w:rPr>
                <w:rFonts w:ascii="Franklin Gothic Book" w:hAnsi="Franklin Gothic Book" w:cs="Arial"/>
                <w:color w:val="000000"/>
                <w:sz w:val="20"/>
                <w:szCs w:val="20"/>
              </w:rPr>
              <w:t>gpm</w:t>
            </w:r>
            <w:proofErr w:type="spellEnd"/>
            <w:r w:rsidRPr="00475ED6">
              <w:rPr>
                <w:rFonts w:ascii="Franklin Gothic Book" w:hAnsi="Franklin Gothic Book" w:cs="Arial"/>
                <w:color w:val="000000"/>
                <w:sz w:val="20"/>
                <w:szCs w:val="20"/>
              </w:rPr>
              <w:t xml:space="preserve"> (8.3 lpm); a flow test does not exceed 0.4 gal.</w:t>
            </w:r>
          </w:p>
          <w:p w14:paraId="3CB42680" w14:textId="77777777" w:rsidR="00892806" w:rsidRPr="00475ED6" w:rsidRDefault="00475ED6" w:rsidP="00475ED6">
            <w:pPr>
              <w:pStyle w:val="NormalWeb"/>
              <w:shd w:val="clear" w:color="auto" w:fill="FFFFFF"/>
              <w:spacing w:before="0" w:beforeAutospacing="0" w:after="0" w:afterAutospacing="0"/>
              <w:rPr>
                <w:rFonts w:ascii="Franklin Gothic Book" w:hAnsi="Franklin Gothic Book" w:cs="Arial"/>
                <w:color w:val="000000"/>
                <w:sz w:val="20"/>
                <w:szCs w:val="20"/>
              </w:rPr>
            </w:pPr>
            <w:r w:rsidRPr="00475ED6">
              <w:rPr>
                <w:rFonts w:ascii="Franklin Gothic Book" w:hAnsi="Franklin Gothic Book" w:cs="Arial"/>
                <w:color w:val="000000"/>
                <w:sz w:val="20"/>
                <w:szCs w:val="20"/>
              </w:rPr>
              <w:t xml:space="preserve">Applicable codes include EPA Resource Manual for Building </w:t>
            </w:r>
            <w:proofErr w:type="spellStart"/>
            <w:r w:rsidRPr="00475ED6">
              <w:rPr>
                <w:rFonts w:ascii="Franklin Gothic Book" w:hAnsi="Franklin Gothic Book" w:cs="Arial"/>
                <w:color w:val="000000"/>
                <w:sz w:val="20"/>
                <w:szCs w:val="20"/>
              </w:rPr>
              <w:t>WaterSense</w:t>
            </w:r>
            <w:proofErr w:type="spellEnd"/>
            <w:r w:rsidRPr="00475ED6">
              <w:rPr>
                <w:rFonts w:ascii="Franklin Gothic Book" w:hAnsi="Franklin Gothic Book" w:cs="Arial"/>
                <w:color w:val="000000"/>
                <w:sz w:val="20"/>
                <w:szCs w:val="20"/>
              </w:rPr>
              <w:t xml:space="preserve">-labeled Homes Version 1.2, EPA </w:t>
            </w:r>
            <w:proofErr w:type="spellStart"/>
            <w:r w:rsidRPr="00475ED6">
              <w:rPr>
                <w:rFonts w:ascii="Franklin Gothic Book" w:hAnsi="Franklin Gothic Book" w:cs="Arial"/>
                <w:color w:val="000000"/>
                <w:sz w:val="20"/>
                <w:szCs w:val="20"/>
              </w:rPr>
              <w:t>WaterSense</w:t>
            </w:r>
            <w:proofErr w:type="spellEnd"/>
            <w:r w:rsidRPr="00475ED6">
              <w:rPr>
                <w:rFonts w:ascii="Franklin Gothic Book" w:hAnsi="Franklin Gothic Book" w:cs="Arial"/>
                <w:color w:val="000000"/>
                <w:sz w:val="20"/>
                <w:szCs w:val="20"/>
              </w:rPr>
              <w:t>® New Home Specification, and DOE Zero Energy Ready Home (Rev. 07).</w:t>
            </w:r>
          </w:p>
          <w:p w14:paraId="6635C029" w14:textId="77777777" w:rsidR="006E6A7A" w:rsidRPr="007730D9" w:rsidRDefault="006E6A7A" w:rsidP="00475ED6">
            <w:pPr>
              <w:rPr>
                <w:rFonts w:ascii="Franklin Gothic Demi" w:hAnsi="Franklin Gothic Demi"/>
                <w:sz w:val="16"/>
                <w:szCs w:val="16"/>
              </w:rPr>
            </w:pPr>
          </w:p>
        </w:tc>
      </w:tr>
    </w:tbl>
    <w:p w14:paraId="71D6A28B" w14:textId="77777777" w:rsidR="006E6A7A" w:rsidRPr="006E6A7A" w:rsidRDefault="006E2FD5">
      <w:pPr>
        <w:rPr>
          <w:rFonts w:ascii="Franklin Gothic Demi" w:hAnsi="Franklin Gothic Demi"/>
          <w:sz w:val="72"/>
          <w:szCs w:val="72"/>
        </w:rPr>
      </w:pPr>
      <w:r w:rsidRPr="00475ED6">
        <w:rPr>
          <w:rFonts w:ascii="Franklin Gothic Demi" w:hAnsi="Franklin Gothic Demi"/>
          <w:noProof/>
          <w:color w:val="000000" w:themeColor="text1"/>
          <w:sz w:val="56"/>
          <w:szCs w:val="56"/>
        </w:rPr>
        <mc:AlternateContent>
          <mc:Choice Requires="wps">
            <w:drawing>
              <wp:anchor distT="0" distB="0" distL="114300" distR="114300" simplePos="0" relativeHeight="251658240" behindDoc="0" locked="0" layoutInCell="1" allowOverlap="1" wp14:anchorId="3B07D98A" wp14:editId="37314A04">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A334E3" id="Rectangle 10" o:spid="_x0000_s1026" style="position:absolute;margin-left:-71pt;margin-top:-3pt;width:17.5pt;height:4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" fillcolor="#007934" stroked="f" strokeweight="1pt"/>
            </w:pict>
          </mc:Fallback>
        </mc:AlternateContent>
      </w:r>
      <w:r w:rsidR="00475ED6" w:rsidRPr="00475ED6">
        <w:rPr>
          <w:rFonts w:ascii="Franklin Gothic Demi" w:hAnsi="Franklin Gothic Demi"/>
          <w:color w:val="000000" w:themeColor="text1"/>
          <w:sz w:val="56"/>
          <w:szCs w:val="56"/>
        </w:rPr>
        <w:t xml:space="preserve">LOW-FLOW FIXTURES: </w:t>
      </w:r>
      <w:r w:rsidR="00475ED6" w:rsidRPr="00475ED6">
        <w:rPr>
          <w:rFonts w:ascii="Franklin Gothic Demi" w:hAnsi="Franklin Gothic Demi"/>
          <w:color w:val="007934"/>
          <w:sz w:val="56"/>
          <w:szCs w:val="56"/>
        </w:rPr>
        <w:t xml:space="preserve">BATHROOM AND KITCHEN </w:t>
      </w:r>
      <w:r w:rsidR="00475ED6" w:rsidRPr="00475ED6">
        <w:rPr>
          <w:rFonts w:ascii="Franklin Gothic Demi" w:hAnsi="Franklin Gothic Demi"/>
          <w:color w:val="000000" w:themeColor="text1"/>
          <w:sz w:val="56"/>
          <w:szCs w:val="56"/>
        </w:rPr>
        <w:t>FAUCETS</w:t>
      </w:r>
    </w:p>
    <w:sectPr w:rsidR="006E6A7A" w:rsidRPr="006E6A7A" w:rsidSect="00321976">
      <w:headerReference w:type="default" r:id="rId11"/>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76A5A" w14:textId="77777777" w:rsidR="009A1D1D" w:rsidRDefault="009A1D1D" w:rsidP="006E2FD5">
      <w:pPr>
        <w:spacing w:after="0" w:line="240" w:lineRule="auto"/>
      </w:pPr>
      <w:r>
        <w:separator/>
      </w:r>
    </w:p>
  </w:endnote>
  <w:endnote w:type="continuationSeparator" w:id="0">
    <w:p w14:paraId="4A62D391" w14:textId="77777777" w:rsidR="009A1D1D" w:rsidRDefault="009A1D1D"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3368112-92C7-49F3-97D5-4757C7779D5B}"/>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AF8CFB17-4B33-47CF-ACEA-92BF91310584}"/>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CBDFFE95-5893-466E-A61E-36F41DC99B24}"/>
  </w:font>
  <w:font w:name="Calibri Light">
    <w:panose1 w:val="020F0302020204030204"/>
    <w:charset w:val="00"/>
    <w:family w:val="swiss"/>
    <w:pitch w:val="variable"/>
    <w:sig w:usb0="E4002EFF" w:usb1="C000247B" w:usb2="00000009" w:usb3="00000000" w:csb0="000001FF" w:csb1="00000000"/>
    <w:embedRegular r:id="rId4" w:fontKey="{7C62B8A8-42B2-4A2D-8D22-915AF42923F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FD3EF" w14:textId="77777777" w:rsidR="009A1D1D" w:rsidRDefault="009A1D1D" w:rsidP="006E2FD5">
      <w:pPr>
        <w:spacing w:after="0" w:line="240" w:lineRule="auto"/>
      </w:pPr>
      <w:r>
        <w:separator/>
      </w:r>
    </w:p>
  </w:footnote>
  <w:footnote w:type="continuationSeparator" w:id="0">
    <w:p w14:paraId="32F672F1" w14:textId="77777777" w:rsidR="009A1D1D" w:rsidRDefault="009A1D1D"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2CE2F"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4727F70F" wp14:editId="633DE119">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4335087"/>
    <w:multiLevelType w:val="hybridMultilevel"/>
    <w:tmpl w:val="151C4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17CE"/>
    <w:rsid w:val="001858C4"/>
    <w:rsid w:val="001D0F8D"/>
    <w:rsid w:val="0020358C"/>
    <w:rsid w:val="002E34E5"/>
    <w:rsid w:val="00321976"/>
    <w:rsid w:val="003673DD"/>
    <w:rsid w:val="003D422A"/>
    <w:rsid w:val="00475ED6"/>
    <w:rsid w:val="00483641"/>
    <w:rsid w:val="004E2E36"/>
    <w:rsid w:val="00533671"/>
    <w:rsid w:val="0065016C"/>
    <w:rsid w:val="00696BF4"/>
    <w:rsid w:val="006A2C8A"/>
    <w:rsid w:val="006D754B"/>
    <w:rsid w:val="006E2FD5"/>
    <w:rsid w:val="006E6A7A"/>
    <w:rsid w:val="006F2EDA"/>
    <w:rsid w:val="00736D40"/>
    <w:rsid w:val="007730D9"/>
    <w:rsid w:val="007E18AD"/>
    <w:rsid w:val="00874384"/>
    <w:rsid w:val="00892806"/>
    <w:rsid w:val="008C65C5"/>
    <w:rsid w:val="008E268E"/>
    <w:rsid w:val="009273EF"/>
    <w:rsid w:val="0096444C"/>
    <w:rsid w:val="009A1D1D"/>
    <w:rsid w:val="00A43998"/>
    <w:rsid w:val="00AB413B"/>
    <w:rsid w:val="00AC422F"/>
    <w:rsid w:val="00B24A8F"/>
    <w:rsid w:val="00B81DD1"/>
    <w:rsid w:val="00C015E0"/>
    <w:rsid w:val="00C11A3D"/>
    <w:rsid w:val="00C759BA"/>
    <w:rsid w:val="00DB2510"/>
    <w:rsid w:val="00DB33D3"/>
    <w:rsid w:val="00DF3FAA"/>
    <w:rsid w:val="00F00083"/>
    <w:rsid w:val="00F4203B"/>
    <w:rsid w:val="00F42FC2"/>
    <w:rsid w:val="00F726C1"/>
    <w:rsid w:val="00F83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599847"/>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270</Words>
  <Characters>1544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2022-04-29T17:35:00Z</dcterms:created>
  <dcterms:modified xsi:type="dcterms:W3CDTF">2022-04-29T17:35:00Z</dcterms:modified>
</cp:coreProperties>
</file>