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24BA" w14:textId="3BB0B618" w:rsidR="00E12AF4" w:rsidRDefault="00C00F27" w:rsidP="00375BE7">
      <w:pPr>
        <w:pStyle w:val="HeadingFrontNoTOC"/>
      </w:pPr>
      <w:r w:rsidRPr="00C00F27">
        <w:t>BSESC—</w:t>
      </w:r>
      <w:r w:rsidR="00BE05B3">
        <w:t>Life</w:t>
      </w:r>
      <w:r w:rsidR="009B23D2">
        <w:t>-</w:t>
      </w:r>
      <w:r w:rsidR="00BE05B3">
        <w:t>Cycle Analysis</w:t>
      </w:r>
    </w:p>
    <w:p w14:paraId="07ABAB19" w14:textId="5E8D956F" w:rsidR="00F55786" w:rsidRPr="00622835" w:rsidRDefault="00375BE7" w:rsidP="00375BE7">
      <w:pPr>
        <w:pStyle w:val="Heading1"/>
      </w:pPr>
      <w:r w:rsidRPr="00092794">
        <w:t>Pr</w:t>
      </w:r>
      <w:r w:rsidRPr="00622835">
        <w:t xml:space="preserve">oficiency Level </w:t>
      </w:r>
      <w:r w:rsidR="00897E08">
        <w:t>3</w:t>
      </w:r>
      <w:r w:rsidRPr="00622835">
        <w:t xml:space="preserve">.  </w:t>
      </w:r>
      <w:r w:rsidR="00897E08">
        <w:t>Apply</w:t>
      </w:r>
    </w:p>
    <w:p w14:paraId="5126110A" w14:textId="48D1F538" w:rsidR="00071576" w:rsidRPr="00622835" w:rsidRDefault="00071576" w:rsidP="00D83231">
      <w:pPr>
        <w:pStyle w:val="Heading2"/>
      </w:pPr>
      <w:r w:rsidRPr="00622835">
        <w:t xml:space="preserve">Learning Objective </w:t>
      </w:r>
      <w:r w:rsidR="00897E08">
        <w:t>3</w:t>
      </w:r>
      <w:r w:rsidR="00933C48">
        <w:t>.1</w:t>
      </w:r>
    </w:p>
    <w:p w14:paraId="306811AE" w14:textId="56E7374A" w:rsidR="0042282B" w:rsidRPr="00622835" w:rsidRDefault="003C23A4" w:rsidP="00262FA6">
      <w:pPr>
        <w:pStyle w:val="BodyText"/>
      </w:pPr>
      <w:r w:rsidRPr="00C436F1">
        <w:t>Interpret the results from a simple life-cycle assessment and use the data to make recommendations about a building system</w:t>
      </w:r>
      <w:r w:rsidR="0042282B" w:rsidRPr="00622835">
        <w:t xml:space="preserve">.  </w:t>
      </w:r>
    </w:p>
    <w:p w14:paraId="6851FCB5" w14:textId="4E1C8C6B" w:rsidR="00071576" w:rsidRPr="00622835" w:rsidRDefault="00CC0A76" w:rsidP="00C37481">
      <w:pPr>
        <w:pStyle w:val="Heading3"/>
      </w:pPr>
      <w:r w:rsidRPr="00622835">
        <w:t>Lecture Notes</w:t>
      </w:r>
    </w:p>
    <w:p w14:paraId="1FB9067B" w14:textId="0C5A553D" w:rsidR="00933C48" w:rsidRDefault="00933C48" w:rsidP="003C23A4">
      <w:pPr>
        <w:pStyle w:val="BodyText"/>
      </w:pPr>
      <w:r>
        <w:t xml:space="preserve">The interpretation step of the </w:t>
      </w:r>
      <w:r w:rsidR="00003644">
        <w:t>life</w:t>
      </w:r>
      <w:r w:rsidR="009B23D2">
        <w:t>-</w:t>
      </w:r>
      <w:r w:rsidR="00003644">
        <w:t>cycle analysis (</w:t>
      </w:r>
      <w:r>
        <w:t>LCA</w:t>
      </w:r>
      <w:r w:rsidR="00003644">
        <w:t>)</w:t>
      </w:r>
      <w:r>
        <w:t xml:space="preserve"> process includes </w:t>
      </w:r>
      <w:r w:rsidR="009072C9">
        <w:t xml:space="preserve">an </w:t>
      </w:r>
      <w:r>
        <w:t xml:space="preserve">uncertainty analysis, </w:t>
      </w:r>
      <w:r w:rsidR="009072C9">
        <w:t xml:space="preserve">a </w:t>
      </w:r>
      <w:r>
        <w:t xml:space="preserve">sensitivity analysis, and </w:t>
      </w:r>
      <w:r w:rsidR="009072C9">
        <w:t xml:space="preserve">an </w:t>
      </w:r>
      <w:r>
        <w:t xml:space="preserve">analysis of the results. The results of an LCA can be complex, and because the units of each environmental or cost impact may vary, it can be useful to consider specific tools for interpreting the results. </w:t>
      </w:r>
    </w:p>
    <w:p w14:paraId="1F609248" w14:textId="37265715" w:rsidR="00933C48" w:rsidRDefault="00933C48" w:rsidP="00A02C37">
      <w:pPr>
        <w:pStyle w:val="BodyText"/>
      </w:pPr>
      <w:r>
        <w:t xml:space="preserve">The first step in the interpretation is often an output table based on the calculation of matrix [g]. An example of this type of table is shown in </w:t>
      </w:r>
      <w:r w:rsidR="006C3873">
        <w:fldChar w:fldCharType="begin"/>
      </w:r>
      <w:r w:rsidR="006C3873">
        <w:instrText xml:space="preserve"> REF _Ref51324090 \h </w:instrText>
      </w:r>
      <w:r w:rsidR="006C3873">
        <w:fldChar w:fldCharType="separate"/>
      </w:r>
      <w:r w:rsidR="006C3873">
        <w:t xml:space="preserve">Table </w:t>
      </w:r>
      <w:r w:rsidR="006C3873">
        <w:rPr>
          <w:noProof/>
        </w:rPr>
        <w:t>1</w:t>
      </w:r>
      <w:r w:rsidR="006C3873">
        <w:fldChar w:fldCharType="end"/>
      </w:r>
      <w:r>
        <w:t xml:space="preserve">. In this example, each lighting product analyzed was shown as a different column. Each row is based on the original units and impact categories from the inventory analysis (matrix [B]). The values represent the total environmental impact for all the processes we defined, including transportation, manufacture, use, and end of life. </w:t>
      </w:r>
    </w:p>
    <w:p w14:paraId="56D8A30E" w14:textId="6ACBA0D1" w:rsidR="00933C48" w:rsidRDefault="006C3873" w:rsidP="006C3873">
      <w:pPr>
        <w:pStyle w:val="Caption-Tab"/>
      </w:pPr>
      <w:bookmarkStart w:id="0" w:name="_Ref51324090"/>
      <w:r>
        <w:t xml:space="preserve">Table </w:t>
      </w:r>
      <w:r w:rsidR="00811978">
        <w:fldChar w:fldCharType="begin"/>
      </w:r>
      <w:r w:rsidR="00811978">
        <w:instrText xml:space="preserve"> SEQ Table \* ARABIC </w:instrText>
      </w:r>
      <w:r w:rsidR="00811978">
        <w:fldChar w:fldCharType="separate"/>
      </w:r>
      <w:r>
        <w:rPr>
          <w:noProof/>
        </w:rPr>
        <w:t>1</w:t>
      </w:r>
      <w:r w:rsidR="00811978">
        <w:rPr>
          <w:noProof/>
        </w:rPr>
        <w:fldChar w:fldCharType="end"/>
      </w:r>
      <w:bookmarkEnd w:id="0"/>
      <w:r w:rsidR="00933C48">
        <w:t>.</w:t>
      </w:r>
      <w:r>
        <w:tab/>
      </w:r>
      <w:r w:rsidR="00933C48">
        <w:t xml:space="preserve">Example of the results summary table based on matrix [g] for several lighting products </w:t>
      </w:r>
      <w:r>
        <w:t xml:space="preserve">(Dillon, Ross, and </w:t>
      </w:r>
      <w:proofErr w:type="spellStart"/>
      <w:r>
        <w:t>Dzombak</w:t>
      </w:r>
      <w:proofErr w:type="spellEnd"/>
      <w:r>
        <w:t xml:space="preserve"> 2019)</w:t>
      </w:r>
    </w:p>
    <w:tbl>
      <w:tblPr>
        <w:tblStyle w:val="PNNLClassic"/>
        <w:tblW w:w="0" w:type="auto"/>
        <w:tblLook w:val="04A0" w:firstRow="1" w:lastRow="0" w:firstColumn="1" w:lastColumn="0" w:noHBand="0" w:noVBand="1"/>
      </w:tblPr>
      <w:tblGrid>
        <w:gridCol w:w="3420"/>
        <w:gridCol w:w="1440"/>
        <w:gridCol w:w="1170"/>
        <w:gridCol w:w="1080"/>
        <w:gridCol w:w="1080"/>
        <w:gridCol w:w="1160"/>
      </w:tblGrid>
      <w:tr w:rsidR="0065155F" w:rsidRPr="0079337F" w14:paraId="7054C3F0" w14:textId="77777777" w:rsidTr="0065155F">
        <w:trPr>
          <w:cnfStyle w:val="100000000000" w:firstRow="1" w:lastRow="0" w:firstColumn="0" w:lastColumn="0" w:oddVBand="0" w:evenVBand="0" w:oddHBand="0" w:evenHBand="0" w:firstRowFirstColumn="0" w:firstRowLastColumn="0" w:lastRowFirstColumn="0" w:lastRowLastColumn="0"/>
        </w:trPr>
        <w:tc>
          <w:tcPr>
            <w:tcW w:w="3420" w:type="dxa"/>
            <w:vAlign w:val="center"/>
          </w:tcPr>
          <w:p w14:paraId="7C78FEB8" w14:textId="3043D076" w:rsidR="00E86187" w:rsidRPr="00582078" w:rsidRDefault="00E7138E" w:rsidP="0079337F">
            <w:pPr>
              <w:pStyle w:val="TableText"/>
              <w:rPr>
                <w:b/>
                <w:bCs/>
              </w:rPr>
            </w:pPr>
            <w:r w:rsidRPr="00582078">
              <w:rPr>
                <w:b/>
                <w:bCs/>
              </w:rPr>
              <w:t>Impact Category</w:t>
            </w:r>
          </w:p>
        </w:tc>
        <w:tc>
          <w:tcPr>
            <w:tcW w:w="1440" w:type="dxa"/>
            <w:vAlign w:val="center"/>
          </w:tcPr>
          <w:p w14:paraId="48D0D693" w14:textId="3465736C" w:rsidR="00E86187" w:rsidRPr="00582078" w:rsidRDefault="0016653E" w:rsidP="0079337F">
            <w:pPr>
              <w:pStyle w:val="TableText"/>
              <w:rPr>
                <w:b/>
                <w:bCs/>
              </w:rPr>
            </w:pPr>
            <w:r w:rsidRPr="00582078">
              <w:rPr>
                <w:b/>
                <w:bCs/>
              </w:rPr>
              <w:t>Units</w:t>
            </w:r>
          </w:p>
        </w:tc>
        <w:tc>
          <w:tcPr>
            <w:tcW w:w="1170" w:type="dxa"/>
            <w:vAlign w:val="center"/>
          </w:tcPr>
          <w:p w14:paraId="0EC49774" w14:textId="7E6E3814" w:rsidR="00E86187" w:rsidRPr="00582078" w:rsidRDefault="004C3DCD" w:rsidP="0079337F">
            <w:pPr>
              <w:pStyle w:val="TableText"/>
              <w:rPr>
                <w:b/>
                <w:bCs/>
              </w:rPr>
            </w:pPr>
            <w:r w:rsidRPr="00582078">
              <w:rPr>
                <w:b/>
                <w:bCs/>
              </w:rPr>
              <w:t>Product 0</w:t>
            </w:r>
          </w:p>
        </w:tc>
        <w:tc>
          <w:tcPr>
            <w:tcW w:w="1080" w:type="dxa"/>
            <w:vAlign w:val="center"/>
          </w:tcPr>
          <w:p w14:paraId="26F2ECA6" w14:textId="5BDE464E" w:rsidR="00E86187" w:rsidRPr="00582078" w:rsidRDefault="003820BA" w:rsidP="0079337F">
            <w:pPr>
              <w:pStyle w:val="TableText"/>
              <w:rPr>
                <w:b/>
                <w:bCs/>
              </w:rPr>
            </w:pPr>
            <w:r w:rsidRPr="00582078">
              <w:rPr>
                <w:b/>
                <w:bCs/>
              </w:rPr>
              <w:t>Product 1</w:t>
            </w:r>
          </w:p>
        </w:tc>
        <w:tc>
          <w:tcPr>
            <w:tcW w:w="1080" w:type="dxa"/>
            <w:vAlign w:val="center"/>
          </w:tcPr>
          <w:p w14:paraId="506D55ED" w14:textId="4FB28957" w:rsidR="00E86187" w:rsidRPr="00582078" w:rsidRDefault="00B67D85" w:rsidP="0079337F">
            <w:pPr>
              <w:pStyle w:val="TableText"/>
              <w:rPr>
                <w:b/>
                <w:bCs/>
              </w:rPr>
            </w:pPr>
            <w:r w:rsidRPr="00582078">
              <w:rPr>
                <w:b/>
                <w:bCs/>
              </w:rPr>
              <w:t>Product 2</w:t>
            </w:r>
          </w:p>
        </w:tc>
        <w:tc>
          <w:tcPr>
            <w:tcW w:w="1160" w:type="dxa"/>
            <w:vAlign w:val="center"/>
          </w:tcPr>
          <w:p w14:paraId="0D8632BA" w14:textId="75E6D0E9" w:rsidR="00E86187" w:rsidRPr="00582078" w:rsidRDefault="0063060A" w:rsidP="0079337F">
            <w:pPr>
              <w:pStyle w:val="TableText"/>
              <w:rPr>
                <w:b/>
                <w:bCs/>
              </w:rPr>
            </w:pPr>
            <w:r w:rsidRPr="00582078">
              <w:rPr>
                <w:b/>
                <w:bCs/>
              </w:rPr>
              <w:t>Product 3</w:t>
            </w:r>
          </w:p>
        </w:tc>
      </w:tr>
      <w:tr w:rsidR="0065155F" w:rsidRPr="0079337F" w14:paraId="2264EE83" w14:textId="77777777" w:rsidTr="0065155F">
        <w:tc>
          <w:tcPr>
            <w:tcW w:w="3420" w:type="dxa"/>
            <w:vAlign w:val="center"/>
          </w:tcPr>
          <w:p w14:paraId="7EEDBB21" w14:textId="5763FAF0" w:rsidR="00E86187" w:rsidRPr="0079337F" w:rsidRDefault="00E7138E" w:rsidP="0079337F">
            <w:pPr>
              <w:pStyle w:val="TableText"/>
            </w:pPr>
            <w:r w:rsidRPr="0079337F">
              <w:t>Abiotic resource depletion</w:t>
            </w:r>
          </w:p>
        </w:tc>
        <w:tc>
          <w:tcPr>
            <w:tcW w:w="1440" w:type="dxa"/>
            <w:vAlign w:val="center"/>
          </w:tcPr>
          <w:p w14:paraId="0130E564" w14:textId="0CC49674" w:rsidR="00E86187" w:rsidRPr="0079337F" w:rsidRDefault="0009738C" w:rsidP="0079337F">
            <w:pPr>
              <w:pStyle w:val="TableText"/>
              <w:jc w:val="center"/>
            </w:pPr>
            <w:r w:rsidRPr="0079337F">
              <w:t>Kg Sb-Eq</w:t>
            </w:r>
          </w:p>
        </w:tc>
        <w:tc>
          <w:tcPr>
            <w:tcW w:w="1170" w:type="dxa"/>
            <w:vAlign w:val="center"/>
          </w:tcPr>
          <w:p w14:paraId="4BDCDF4E" w14:textId="115842F0" w:rsidR="00E86187" w:rsidRPr="0079337F" w:rsidRDefault="00923EF6" w:rsidP="0079337F">
            <w:pPr>
              <w:pStyle w:val="TableText"/>
              <w:jc w:val="center"/>
            </w:pPr>
            <w:r w:rsidRPr="0079337F">
              <w:t>3.03E-3</w:t>
            </w:r>
          </w:p>
        </w:tc>
        <w:tc>
          <w:tcPr>
            <w:tcW w:w="1080" w:type="dxa"/>
            <w:vAlign w:val="center"/>
          </w:tcPr>
          <w:p w14:paraId="736F9318" w14:textId="0429AD84" w:rsidR="00E86187" w:rsidRPr="0079337F" w:rsidRDefault="00CA5FFF" w:rsidP="0079337F">
            <w:pPr>
              <w:pStyle w:val="TableText"/>
              <w:jc w:val="center"/>
            </w:pPr>
            <w:r w:rsidRPr="0079337F">
              <w:t>2.17E-3</w:t>
            </w:r>
          </w:p>
        </w:tc>
        <w:tc>
          <w:tcPr>
            <w:tcW w:w="1080" w:type="dxa"/>
            <w:vAlign w:val="center"/>
          </w:tcPr>
          <w:p w14:paraId="1A6AEA45" w14:textId="63ADA4FE" w:rsidR="00E86187" w:rsidRPr="0079337F" w:rsidRDefault="00AB3FE0" w:rsidP="0079337F">
            <w:pPr>
              <w:pStyle w:val="TableText"/>
              <w:jc w:val="center"/>
            </w:pPr>
            <w:r w:rsidRPr="0079337F">
              <w:t>1.33E-3</w:t>
            </w:r>
          </w:p>
        </w:tc>
        <w:tc>
          <w:tcPr>
            <w:tcW w:w="1160" w:type="dxa"/>
            <w:vAlign w:val="center"/>
          </w:tcPr>
          <w:p w14:paraId="12AA17EF" w14:textId="63CE54B3" w:rsidR="00E86187" w:rsidRPr="0079337F" w:rsidRDefault="004B2EEE" w:rsidP="0079337F">
            <w:pPr>
              <w:pStyle w:val="TableText"/>
              <w:jc w:val="center"/>
            </w:pPr>
            <w:r w:rsidRPr="0079337F">
              <w:t>1.42E-3</w:t>
            </w:r>
          </w:p>
        </w:tc>
      </w:tr>
      <w:tr w:rsidR="001E08B9" w:rsidRPr="0079337F" w14:paraId="4E0D611D" w14:textId="77777777" w:rsidTr="0065155F">
        <w:trPr>
          <w:cnfStyle w:val="000000010000" w:firstRow="0" w:lastRow="0" w:firstColumn="0" w:lastColumn="0" w:oddVBand="0" w:evenVBand="0" w:oddHBand="0" w:evenHBand="1" w:firstRowFirstColumn="0" w:firstRowLastColumn="0" w:lastRowFirstColumn="0" w:lastRowLastColumn="0"/>
        </w:trPr>
        <w:tc>
          <w:tcPr>
            <w:tcW w:w="3420" w:type="dxa"/>
            <w:vAlign w:val="center"/>
          </w:tcPr>
          <w:p w14:paraId="151EE465" w14:textId="03570B2F" w:rsidR="00E86187" w:rsidRPr="0079337F" w:rsidRDefault="00732750" w:rsidP="0079337F">
            <w:pPr>
              <w:pStyle w:val="TableText"/>
            </w:pPr>
            <w:r w:rsidRPr="0079337F">
              <w:t>Global warming potential</w:t>
            </w:r>
          </w:p>
        </w:tc>
        <w:tc>
          <w:tcPr>
            <w:tcW w:w="1440" w:type="dxa"/>
            <w:vAlign w:val="center"/>
          </w:tcPr>
          <w:p w14:paraId="5D2CB122" w14:textId="1AB1B28A" w:rsidR="00E86187" w:rsidRPr="0079337F" w:rsidRDefault="0009738C" w:rsidP="0079337F">
            <w:pPr>
              <w:pStyle w:val="TableText"/>
              <w:jc w:val="center"/>
            </w:pPr>
            <w:r w:rsidRPr="0079337F">
              <w:t>Kg CO</w:t>
            </w:r>
            <w:r w:rsidRPr="00612003">
              <w:rPr>
                <w:vertAlign w:val="subscript"/>
              </w:rPr>
              <w:t>2</w:t>
            </w:r>
            <w:r w:rsidRPr="0079337F">
              <w:t>-Eq</w:t>
            </w:r>
          </w:p>
        </w:tc>
        <w:tc>
          <w:tcPr>
            <w:tcW w:w="1170" w:type="dxa"/>
            <w:vAlign w:val="center"/>
          </w:tcPr>
          <w:p w14:paraId="16945945" w14:textId="47260127" w:rsidR="00E86187" w:rsidRPr="0079337F" w:rsidRDefault="00923EF6" w:rsidP="0079337F">
            <w:pPr>
              <w:pStyle w:val="TableText"/>
              <w:jc w:val="center"/>
            </w:pPr>
            <w:r w:rsidRPr="0079337F">
              <w:t>1.4.1E+2</w:t>
            </w:r>
          </w:p>
        </w:tc>
        <w:tc>
          <w:tcPr>
            <w:tcW w:w="1080" w:type="dxa"/>
            <w:vAlign w:val="center"/>
          </w:tcPr>
          <w:p w14:paraId="54315F77" w14:textId="1DB97368" w:rsidR="00E86187" w:rsidRPr="0079337F" w:rsidRDefault="00CA5FFF" w:rsidP="0079337F">
            <w:pPr>
              <w:pStyle w:val="TableText"/>
              <w:jc w:val="center"/>
            </w:pPr>
            <w:r w:rsidRPr="0079337F">
              <w:t>9.64E</w:t>
            </w:r>
            <w:r w:rsidR="00F93896" w:rsidRPr="0079337F">
              <w:t>+1</w:t>
            </w:r>
          </w:p>
        </w:tc>
        <w:tc>
          <w:tcPr>
            <w:tcW w:w="1080" w:type="dxa"/>
            <w:vAlign w:val="center"/>
          </w:tcPr>
          <w:p w14:paraId="0528494D" w14:textId="1C9F909D" w:rsidR="00E86187" w:rsidRPr="0079337F" w:rsidRDefault="00AB3FE0" w:rsidP="0079337F">
            <w:pPr>
              <w:pStyle w:val="TableText"/>
              <w:jc w:val="center"/>
            </w:pPr>
            <w:r w:rsidRPr="0079337F">
              <w:t>1.05E+2</w:t>
            </w:r>
          </w:p>
        </w:tc>
        <w:tc>
          <w:tcPr>
            <w:tcW w:w="1160" w:type="dxa"/>
            <w:vAlign w:val="center"/>
          </w:tcPr>
          <w:p w14:paraId="7590C61E" w14:textId="7A63ECC5" w:rsidR="00E86187" w:rsidRPr="0079337F" w:rsidRDefault="004B2EEE" w:rsidP="0079337F">
            <w:pPr>
              <w:pStyle w:val="TableText"/>
              <w:jc w:val="center"/>
            </w:pPr>
            <w:r w:rsidRPr="0079337F">
              <w:t>1.19E+2</w:t>
            </w:r>
          </w:p>
        </w:tc>
      </w:tr>
      <w:tr w:rsidR="0065155F" w:rsidRPr="0079337F" w14:paraId="3B3F81BC" w14:textId="77777777" w:rsidTr="0065155F">
        <w:tc>
          <w:tcPr>
            <w:tcW w:w="3420" w:type="dxa"/>
            <w:vAlign w:val="center"/>
          </w:tcPr>
          <w:p w14:paraId="725364E2" w14:textId="04079C3C" w:rsidR="00E86187" w:rsidRPr="0079337F" w:rsidRDefault="00732750" w:rsidP="0079337F">
            <w:pPr>
              <w:pStyle w:val="TableText"/>
            </w:pPr>
            <w:r w:rsidRPr="0079337F">
              <w:t>Ozone-depleting potential</w:t>
            </w:r>
          </w:p>
        </w:tc>
        <w:tc>
          <w:tcPr>
            <w:tcW w:w="1440" w:type="dxa"/>
            <w:vAlign w:val="center"/>
          </w:tcPr>
          <w:p w14:paraId="045219A8" w14:textId="4D6C6944" w:rsidR="00E86187" w:rsidRPr="0079337F" w:rsidRDefault="00992DE7" w:rsidP="0079337F">
            <w:pPr>
              <w:pStyle w:val="TableText"/>
              <w:jc w:val="center"/>
            </w:pPr>
            <w:r w:rsidRPr="0079337F">
              <w:t>Kg CFC 11-Eq</w:t>
            </w:r>
          </w:p>
        </w:tc>
        <w:tc>
          <w:tcPr>
            <w:tcW w:w="1170" w:type="dxa"/>
            <w:vAlign w:val="center"/>
          </w:tcPr>
          <w:p w14:paraId="5CAEF6B4" w14:textId="03241E80" w:rsidR="00E86187" w:rsidRPr="0079337F" w:rsidRDefault="004977CC" w:rsidP="0079337F">
            <w:pPr>
              <w:pStyle w:val="TableText"/>
              <w:jc w:val="center"/>
            </w:pPr>
            <w:r w:rsidRPr="0079337F">
              <w:t>4.17E+0</w:t>
            </w:r>
          </w:p>
        </w:tc>
        <w:tc>
          <w:tcPr>
            <w:tcW w:w="1080" w:type="dxa"/>
            <w:vAlign w:val="center"/>
          </w:tcPr>
          <w:p w14:paraId="3F3B4BD4" w14:textId="65FA9D5F" w:rsidR="00E86187" w:rsidRPr="0079337F" w:rsidRDefault="00F93896" w:rsidP="0079337F">
            <w:pPr>
              <w:pStyle w:val="TableText"/>
              <w:jc w:val="center"/>
            </w:pPr>
            <w:r w:rsidRPr="0079337F">
              <w:t>1.73E-5</w:t>
            </w:r>
          </w:p>
        </w:tc>
        <w:tc>
          <w:tcPr>
            <w:tcW w:w="1080" w:type="dxa"/>
            <w:vAlign w:val="center"/>
          </w:tcPr>
          <w:p w14:paraId="60D8E831" w14:textId="40F25EE5" w:rsidR="00E86187" w:rsidRPr="0079337F" w:rsidRDefault="00AB3FE0" w:rsidP="0079337F">
            <w:pPr>
              <w:pStyle w:val="TableText"/>
              <w:jc w:val="center"/>
            </w:pPr>
            <w:r w:rsidRPr="0079337F">
              <w:t>1.89</w:t>
            </w:r>
            <w:r w:rsidR="00344D54" w:rsidRPr="0079337F">
              <w:t>E-5</w:t>
            </w:r>
          </w:p>
        </w:tc>
        <w:tc>
          <w:tcPr>
            <w:tcW w:w="1160" w:type="dxa"/>
            <w:vAlign w:val="center"/>
          </w:tcPr>
          <w:p w14:paraId="7C509A61" w14:textId="41C59B70" w:rsidR="00E86187" w:rsidRPr="0079337F" w:rsidRDefault="004B2EEE" w:rsidP="0079337F">
            <w:pPr>
              <w:pStyle w:val="TableText"/>
              <w:jc w:val="center"/>
            </w:pPr>
            <w:r w:rsidRPr="0079337F">
              <w:t>2.13E-5</w:t>
            </w:r>
          </w:p>
        </w:tc>
      </w:tr>
      <w:tr w:rsidR="001E08B9" w:rsidRPr="0079337F" w14:paraId="3AF98A3E" w14:textId="77777777" w:rsidTr="0065155F">
        <w:trPr>
          <w:cnfStyle w:val="000000010000" w:firstRow="0" w:lastRow="0" w:firstColumn="0" w:lastColumn="0" w:oddVBand="0" w:evenVBand="0" w:oddHBand="0" w:evenHBand="1" w:firstRowFirstColumn="0" w:firstRowLastColumn="0" w:lastRowFirstColumn="0" w:lastRowLastColumn="0"/>
        </w:trPr>
        <w:tc>
          <w:tcPr>
            <w:tcW w:w="3420" w:type="dxa"/>
            <w:vAlign w:val="center"/>
          </w:tcPr>
          <w:p w14:paraId="0E60E4F0" w14:textId="4C7C8992" w:rsidR="00E86187" w:rsidRPr="0079337F" w:rsidRDefault="00732750" w:rsidP="0079337F">
            <w:pPr>
              <w:pStyle w:val="TableText"/>
            </w:pPr>
            <w:r w:rsidRPr="0079337F">
              <w:t>Human toxi</w:t>
            </w:r>
            <w:r w:rsidR="00511057" w:rsidRPr="0079337F">
              <w:t>city</w:t>
            </w:r>
          </w:p>
        </w:tc>
        <w:tc>
          <w:tcPr>
            <w:tcW w:w="1440" w:type="dxa"/>
            <w:vAlign w:val="center"/>
          </w:tcPr>
          <w:p w14:paraId="363B8449" w14:textId="16C3E80F" w:rsidR="00E86187" w:rsidRPr="0079337F" w:rsidRDefault="00992DE7" w:rsidP="0079337F">
            <w:pPr>
              <w:pStyle w:val="TableText"/>
              <w:jc w:val="center"/>
            </w:pPr>
            <w:r w:rsidRPr="0079337F">
              <w:t>Kg 1,4-DCB-Eq</w:t>
            </w:r>
          </w:p>
        </w:tc>
        <w:tc>
          <w:tcPr>
            <w:tcW w:w="1170" w:type="dxa"/>
            <w:vAlign w:val="center"/>
          </w:tcPr>
          <w:p w14:paraId="244EA7BB" w14:textId="685B28EA" w:rsidR="00E86187" w:rsidRPr="0079337F" w:rsidRDefault="004977CC" w:rsidP="0079337F">
            <w:pPr>
              <w:pStyle w:val="TableText"/>
              <w:jc w:val="center"/>
            </w:pPr>
            <w:r w:rsidRPr="0079337F">
              <w:t>7.77E+1</w:t>
            </w:r>
          </w:p>
        </w:tc>
        <w:tc>
          <w:tcPr>
            <w:tcW w:w="1080" w:type="dxa"/>
            <w:vAlign w:val="center"/>
          </w:tcPr>
          <w:p w14:paraId="78858826" w14:textId="2A6EC66F" w:rsidR="00E86187" w:rsidRPr="0079337F" w:rsidRDefault="00F93896" w:rsidP="0079337F">
            <w:pPr>
              <w:pStyle w:val="TableText"/>
              <w:jc w:val="center"/>
            </w:pPr>
            <w:r w:rsidRPr="0079337F">
              <w:t>5.08E+1</w:t>
            </w:r>
          </w:p>
        </w:tc>
        <w:tc>
          <w:tcPr>
            <w:tcW w:w="1080" w:type="dxa"/>
            <w:vAlign w:val="center"/>
          </w:tcPr>
          <w:p w14:paraId="35C50421" w14:textId="32E394D4" w:rsidR="00E86187" w:rsidRPr="0079337F" w:rsidRDefault="00344D54" w:rsidP="0079337F">
            <w:pPr>
              <w:pStyle w:val="TableText"/>
              <w:jc w:val="center"/>
            </w:pPr>
            <w:r w:rsidRPr="0079337F">
              <w:t>4.56E+1</w:t>
            </w:r>
          </w:p>
        </w:tc>
        <w:tc>
          <w:tcPr>
            <w:tcW w:w="1160" w:type="dxa"/>
            <w:vAlign w:val="center"/>
          </w:tcPr>
          <w:p w14:paraId="623C363C" w14:textId="1C2EA3E0" w:rsidR="00E86187" w:rsidRPr="0079337F" w:rsidRDefault="004B2EEE" w:rsidP="0079337F">
            <w:pPr>
              <w:pStyle w:val="TableText"/>
              <w:jc w:val="center"/>
            </w:pPr>
            <w:r w:rsidRPr="0079337F">
              <w:t>5.12E+1</w:t>
            </w:r>
          </w:p>
        </w:tc>
      </w:tr>
      <w:tr w:rsidR="0065155F" w:rsidRPr="0079337F" w14:paraId="3A0AE2A2" w14:textId="77777777" w:rsidTr="0065155F">
        <w:tc>
          <w:tcPr>
            <w:tcW w:w="3420" w:type="dxa"/>
            <w:vAlign w:val="center"/>
          </w:tcPr>
          <w:p w14:paraId="12393C53" w14:textId="2DBC7BB9" w:rsidR="00E86187" w:rsidRPr="0079337F" w:rsidRDefault="00511057" w:rsidP="0079337F">
            <w:pPr>
              <w:pStyle w:val="TableText"/>
            </w:pPr>
            <w:r w:rsidRPr="0079337F">
              <w:t>Freshwater aquatic ecotoxicity</w:t>
            </w:r>
          </w:p>
        </w:tc>
        <w:tc>
          <w:tcPr>
            <w:tcW w:w="1440" w:type="dxa"/>
            <w:vAlign w:val="center"/>
          </w:tcPr>
          <w:p w14:paraId="38CC00CA" w14:textId="57FD0CF9" w:rsidR="00E86187" w:rsidRPr="0079337F" w:rsidRDefault="00E8601C" w:rsidP="0079337F">
            <w:pPr>
              <w:pStyle w:val="TableText"/>
              <w:jc w:val="center"/>
            </w:pPr>
            <w:r w:rsidRPr="0079337F">
              <w:t>Kg 1,4-DCB-Eq</w:t>
            </w:r>
          </w:p>
        </w:tc>
        <w:tc>
          <w:tcPr>
            <w:tcW w:w="1170" w:type="dxa"/>
            <w:vAlign w:val="center"/>
          </w:tcPr>
          <w:p w14:paraId="0547078C" w14:textId="4B8D5263" w:rsidR="00E86187" w:rsidRPr="0079337F" w:rsidRDefault="004977CC" w:rsidP="0079337F">
            <w:pPr>
              <w:pStyle w:val="TableText"/>
              <w:jc w:val="center"/>
            </w:pPr>
            <w:r w:rsidRPr="0079337F">
              <w:t>5.07E+1</w:t>
            </w:r>
          </w:p>
        </w:tc>
        <w:tc>
          <w:tcPr>
            <w:tcW w:w="1080" w:type="dxa"/>
            <w:vAlign w:val="center"/>
          </w:tcPr>
          <w:p w14:paraId="10F94840" w14:textId="478BE878" w:rsidR="00E86187" w:rsidRPr="0079337F" w:rsidRDefault="00272B31" w:rsidP="0079337F">
            <w:pPr>
              <w:pStyle w:val="TableText"/>
              <w:jc w:val="center"/>
            </w:pPr>
            <w:r w:rsidRPr="0079337F">
              <w:t>3.33E+1</w:t>
            </w:r>
          </w:p>
        </w:tc>
        <w:tc>
          <w:tcPr>
            <w:tcW w:w="1080" w:type="dxa"/>
            <w:vAlign w:val="center"/>
          </w:tcPr>
          <w:p w14:paraId="4655702E" w14:textId="2BC15567" w:rsidR="00E86187" w:rsidRPr="0079337F" w:rsidRDefault="00344D54" w:rsidP="0079337F">
            <w:pPr>
              <w:pStyle w:val="TableText"/>
              <w:jc w:val="center"/>
            </w:pPr>
            <w:r w:rsidRPr="0079337F">
              <w:t>2.89E+1</w:t>
            </w:r>
          </w:p>
        </w:tc>
        <w:tc>
          <w:tcPr>
            <w:tcW w:w="1160" w:type="dxa"/>
            <w:vAlign w:val="center"/>
          </w:tcPr>
          <w:p w14:paraId="56BD5FA3" w14:textId="7342D7C2" w:rsidR="00E86187" w:rsidRPr="0079337F" w:rsidRDefault="004B2EEE" w:rsidP="0079337F">
            <w:pPr>
              <w:pStyle w:val="TableText"/>
              <w:jc w:val="center"/>
            </w:pPr>
            <w:r w:rsidRPr="0079337F">
              <w:t>3</w:t>
            </w:r>
            <w:r w:rsidR="009E4504" w:rsidRPr="0079337F">
              <w:t>.39E+1</w:t>
            </w:r>
          </w:p>
        </w:tc>
      </w:tr>
      <w:tr w:rsidR="001E08B9" w:rsidRPr="0079337F" w14:paraId="62486112" w14:textId="77777777" w:rsidTr="0065155F">
        <w:trPr>
          <w:cnfStyle w:val="000000010000" w:firstRow="0" w:lastRow="0" w:firstColumn="0" w:lastColumn="0" w:oddVBand="0" w:evenVBand="0" w:oddHBand="0" w:evenHBand="1" w:firstRowFirstColumn="0" w:firstRowLastColumn="0" w:lastRowFirstColumn="0" w:lastRowLastColumn="0"/>
        </w:trPr>
        <w:tc>
          <w:tcPr>
            <w:tcW w:w="3420" w:type="dxa"/>
            <w:vAlign w:val="center"/>
          </w:tcPr>
          <w:p w14:paraId="4EA52257" w14:textId="7D538AC2" w:rsidR="00E86187" w:rsidRPr="0079337F" w:rsidRDefault="00E865D2" w:rsidP="0079337F">
            <w:pPr>
              <w:pStyle w:val="TableText"/>
            </w:pPr>
            <w:r w:rsidRPr="0079337F">
              <w:t>Marine aquatic ecotoxicity</w:t>
            </w:r>
          </w:p>
        </w:tc>
        <w:tc>
          <w:tcPr>
            <w:tcW w:w="1440" w:type="dxa"/>
            <w:vAlign w:val="center"/>
          </w:tcPr>
          <w:p w14:paraId="30233401" w14:textId="7745A4CC" w:rsidR="00E86187" w:rsidRPr="0079337F" w:rsidRDefault="00E8601C" w:rsidP="0079337F">
            <w:pPr>
              <w:pStyle w:val="TableText"/>
              <w:jc w:val="center"/>
            </w:pPr>
            <w:r w:rsidRPr="0079337F">
              <w:t>Kg 1,4-DCB-Eq</w:t>
            </w:r>
          </w:p>
        </w:tc>
        <w:tc>
          <w:tcPr>
            <w:tcW w:w="1170" w:type="dxa"/>
            <w:vAlign w:val="center"/>
          </w:tcPr>
          <w:p w14:paraId="518EE061" w14:textId="4785D44A" w:rsidR="00E86187" w:rsidRPr="0079337F" w:rsidRDefault="004977CC" w:rsidP="0079337F">
            <w:pPr>
              <w:pStyle w:val="TableText"/>
              <w:jc w:val="center"/>
            </w:pPr>
            <w:r w:rsidRPr="0079337F">
              <w:t>1.98</w:t>
            </w:r>
            <w:r w:rsidR="00C30988" w:rsidRPr="0079337F">
              <w:t>E+5</w:t>
            </w:r>
          </w:p>
        </w:tc>
        <w:tc>
          <w:tcPr>
            <w:tcW w:w="1080" w:type="dxa"/>
            <w:vAlign w:val="center"/>
          </w:tcPr>
          <w:p w14:paraId="7142D728" w14:textId="291EB256" w:rsidR="00E86187" w:rsidRPr="0079337F" w:rsidRDefault="00272B31" w:rsidP="0079337F">
            <w:pPr>
              <w:pStyle w:val="TableText"/>
              <w:jc w:val="center"/>
            </w:pPr>
            <w:r w:rsidRPr="0079337F">
              <w:t>1.27E+5</w:t>
            </w:r>
          </w:p>
        </w:tc>
        <w:tc>
          <w:tcPr>
            <w:tcW w:w="1080" w:type="dxa"/>
            <w:vAlign w:val="center"/>
          </w:tcPr>
          <w:p w14:paraId="2C450548" w14:textId="4FD5CE35" w:rsidR="00E86187" w:rsidRPr="0079337F" w:rsidRDefault="00344D54" w:rsidP="0079337F">
            <w:pPr>
              <w:pStyle w:val="TableText"/>
              <w:jc w:val="center"/>
            </w:pPr>
            <w:r w:rsidRPr="0079337F">
              <w:t>1.16E+5</w:t>
            </w:r>
          </w:p>
        </w:tc>
        <w:tc>
          <w:tcPr>
            <w:tcW w:w="1160" w:type="dxa"/>
            <w:vAlign w:val="center"/>
          </w:tcPr>
          <w:p w14:paraId="6EE8566C" w14:textId="61285066" w:rsidR="00E86187" w:rsidRPr="0079337F" w:rsidRDefault="009E4504" w:rsidP="0079337F">
            <w:pPr>
              <w:pStyle w:val="TableText"/>
              <w:jc w:val="center"/>
            </w:pPr>
            <w:r w:rsidRPr="0079337F">
              <w:t>1.24E+5</w:t>
            </w:r>
          </w:p>
        </w:tc>
      </w:tr>
      <w:tr w:rsidR="0065155F" w:rsidRPr="0079337F" w14:paraId="00B5C398" w14:textId="77777777" w:rsidTr="0065155F">
        <w:tc>
          <w:tcPr>
            <w:tcW w:w="3420" w:type="dxa"/>
            <w:vAlign w:val="center"/>
          </w:tcPr>
          <w:p w14:paraId="0DC0E8DA" w14:textId="5042342D" w:rsidR="00E86187" w:rsidRPr="0079337F" w:rsidRDefault="00E865D2" w:rsidP="0079337F">
            <w:pPr>
              <w:pStyle w:val="TableText"/>
            </w:pPr>
            <w:r w:rsidRPr="0079337F">
              <w:t>Terrestrial ecotoxi</w:t>
            </w:r>
            <w:r w:rsidR="00606B94" w:rsidRPr="0079337F">
              <w:t>ci</w:t>
            </w:r>
            <w:r w:rsidR="00725F85" w:rsidRPr="0079337F">
              <w:t>ty</w:t>
            </w:r>
          </w:p>
        </w:tc>
        <w:tc>
          <w:tcPr>
            <w:tcW w:w="1440" w:type="dxa"/>
            <w:vAlign w:val="center"/>
          </w:tcPr>
          <w:p w14:paraId="3CB1A998" w14:textId="57876ABF" w:rsidR="00E86187" w:rsidRPr="0079337F" w:rsidRDefault="00E8601C" w:rsidP="0079337F">
            <w:pPr>
              <w:pStyle w:val="TableText"/>
              <w:jc w:val="center"/>
            </w:pPr>
            <w:r w:rsidRPr="0079337F">
              <w:t>Kg 1,4-DCB-Eq</w:t>
            </w:r>
          </w:p>
        </w:tc>
        <w:tc>
          <w:tcPr>
            <w:tcW w:w="1170" w:type="dxa"/>
            <w:vAlign w:val="center"/>
          </w:tcPr>
          <w:p w14:paraId="06C4011E" w14:textId="01594B0B" w:rsidR="00E86187" w:rsidRPr="0079337F" w:rsidRDefault="00C30988" w:rsidP="0079337F">
            <w:pPr>
              <w:pStyle w:val="TableText"/>
              <w:jc w:val="center"/>
            </w:pPr>
            <w:r w:rsidRPr="0079337F">
              <w:t>3.49E-1</w:t>
            </w:r>
          </w:p>
        </w:tc>
        <w:tc>
          <w:tcPr>
            <w:tcW w:w="1080" w:type="dxa"/>
            <w:vAlign w:val="center"/>
          </w:tcPr>
          <w:p w14:paraId="286B87A9" w14:textId="191C589F" w:rsidR="00E86187" w:rsidRPr="0079337F" w:rsidRDefault="00272B31" w:rsidP="0079337F">
            <w:pPr>
              <w:pStyle w:val="TableText"/>
              <w:jc w:val="center"/>
            </w:pPr>
            <w:r w:rsidRPr="0079337F">
              <w:t>2.39E-1</w:t>
            </w:r>
          </w:p>
        </w:tc>
        <w:tc>
          <w:tcPr>
            <w:tcW w:w="1080" w:type="dxa"/>
            <w:vAlign w:val="center"/>
          </w:tcPr>
          <w:p w14:paraId="404014DE" w14:textId="133631A0" w:rsidR="00E86187" w:rsidRPr="0079337F" w:rsidRDefault="00344D54" w:rsidP="0079337F">
            <w:pPr>
              <w:pStyle w:val="TableText"/>
              <w:jc w:val="center"/>
            </w:pPr>
            <w:r w:rsidRPr="0079337F">
              <w:t>2.43E-1</w:t>
            </w:r>
          </w:p>
        </w:tc>
        <w:tc>
          <w:tcPr>
            <w:tcW w:w="1160" w:type="dxa"/>
            <w:vAlign w:val="center"/>
          </w:tcPr>
          <w:p w14:paraId="756D6482" w14:textId="3BE0F4A8" w:rsidR="00E86187" w:rsidRPr="0079337F" w:rsidRDefault="009E4504" w:rsidP="0079337F">
            <w:pPr>
              <w:pStyle w:val="TableText"/>
              <w:jc w:val="center"/>
            </w:pPr>
            <w:r w:rsidRPr="0079337F">
              <w:t>2.75E-1</w:t>
            </w:r>
          </w:p>
        </w:tc>
      </w:tr>
      <w:tr w:rsidR="0065155F" w:rsidRPr="0079337F" w14:paraId="132FFEAE" w14:textId="77777777" w:rsidTr="0065155F">
        <w:trPr>
          <w:cnfStyle w:val="000000010000" w:firstRow="0" w:lastRow="0" w:firstColumn="0" w:lastColumn="0" w:oddVBand="0" w:evenVBand="0" w:oddHBand="0" w:evenHBand="1" w:firstRowFirstColumn="0" w:firstRowLastColumn="0" w:lastRowFirstColumn="0" w:lastRowLastColumn="0"/>
        </w:trPr>
        <w:tc>
          <w:tcPr>
            <w:tcW w:w="3420" w:type="dxa"/>
            <w:vAlign w:val="center"/>
          </w:tcPr>
          <w:p w14:paraId="1BDDB5C5" w14:textId="47307D2A" w:rsidR="00725F85" w:rsidRPr="0079337F" w:rsidRDefault="00606B94" w:rsidP="0079337F">
            <w:pPr>
              <w:pStyle w:val="TableText"/>
            </w:pPr>
            <w:r w:rsidRPr="0079337F">
              <w:t>Photochemical ozone creation potential</w:t>
            </w:r>
          </w:p>
        </w:tc>
        <w:tc>
          <w:tcPr>
            <w:tcW w:w="1440" w:type="dxa"/>
            <w:vAlign w:val="center"/>
          </w:tcPr>
          <w:p w14:paraId="23930DAD" w14:textId="614FB427" w:rsidR="00725F85" w:rsidRPr="0079337F" w:rsidRDefault="00E8601C" w:rsidP="0079337F">
            <w:pPr>
              <w:pStyle w:val="TableText"/>
              <w:jc w:val="center"/>
            </w:pPr>
            <w:r w:rsidRPr="0079337F">
              <w:t>Kg C</w:t>
            </w:r>
            <w:r w:rsidRPr="006A3197">
              <w:rPr>
                <w:vertAlign w:val="subscript"/>
              </w:rPr>
              <w:t>2</w:t>
            </w:r>
            <w:r w:rsidRPr="0079337F">
              <w:t>H</w:t>
            </w:r>
            <w:r w:rsidRPr="006A3197">
              <w:rPr>
                <w:vertAlign w:val="subscript"/>
              </w:rPr>
              <w:t>4</w:t>
            </w:r>
            <w:r w:rsidRPr="0079337F">
              <w:t>-Eq</w:t>
            </w:r>
          </w:p>
        </w:tc>
        <w:tc>
          <w:tcPr>
            <w:tcW w:w="1170" w:type="dxa"/>
            <w:vAlign w:val="center"/>
          </w:tcPr>
          <w:p w14:paraId="5B8067C8" w14:textId="649D25CE" w:rsidR="00725F85" w:rsidRPr="0079337F" w:rsidRDefault="00C30988" w:rsidP="0079337F">
            <w:pPr>
              <w:pStyle w:val="TableText"/>
              <w:jc w:val="center"/>
            </w:pPr>
            <w:r w:rsidRPr="0079337F">
              <w:t>4.49</w:t>
            </w:r>
            <w:r w:rsidR="00D940FA" w:rsidRPr="0079337F">
              <w:t>E-2</w:t>
            </w:r>
          </w:p>
        </w:tc>
        <w:tc>
          <w:tcPr>
            <w:tcW w:w="1080" w:type="dxa"/>
            <w:vAlign w:val="center"/>
          </w:tcPr>
          <w:p w14:paraId="681A5DDD" w14:textId="50384245" w:rsidR="00725F85" w:rsidRPr="0079337F" w:rsidRDefault="00272B31" w:rsidP="0079337F">
            <w:pPr>
              <w:pStyle w:val="TableText"/>
              <w:jc w:val="center"/>
            </w:pPr>
            <w:r w:rsidRPr="0079337F">
              <w:t>2.93</w:t>
            </w:r>
            <w:r w:rsidR="00991A18" w:rsidRPr="0079337F">
              <w:t>E-2</w:t>
            </w:r>
          </w:p>
        </w:tc>
        <w:tc>
          <w:tcPr>
            <w:tcW w:w="1080" w:type="dxa"/>
            <w:vAlign w:val="center"/>
          </w:tcPr>
          <w:p w14:paraId="568FCAF0" w14:textId="76F3E744" w:rsidR="00725F85" w:rsidRPr="0079337F" w:rsidRDefault="00344D54" w:rsidP="0079337F">
            <w:pPr>
              <w:pStyle w:val="TableText"/>
              <w:jc w:val="center"/>
            </w:pPr>
            <w:r w:rsidRPr="0079337F">
              <w:t>3.18E-2</w:t>
            </w:r>
          </w:p>
        </w:tc>
        <w:tc>
          <w:tcPr>
            <w:tcW w:w="1160" w:type="dxa"/>
            <w:vAlign w:val="center"/>
          </w:tcPr>
          <w:p w14:paraId="6569495A" w14:textId="4A0AF252" w:rsidR="00725F85" w:rsidRPr="0079337F" w:rsidRDefault="009E4504" w:rsidP="0079337F">
            <w:pPr>
              <w:pStyle w:val="TableText"/>
              <w:jc w:val="center"/>
            </w:pPr>
            <w:r w:rsidRPr="0079337F">
              <w:t>3.58</w:t>
            </w:r>
            <w:r w:rsidR="00D938B9" w:rsidRPr="0079337F">
              <w:t>E-2</w:t>
            </w:r>
          </w:p>
        </w:tc>
      </w:tr>
      <w:tr w:rsidR="00725F85" w:rsidRPr="0079337F" w14:paraId="3E69FBEC" w14:textId="77777777" w:rsidTr="0065155F">
        <w:tc>
          <w:tcPr>
            <w:tcW w:w="3420" w:type="dxa"/>
            <w:vAlign w:val="center"/>
          </w:tcPr>
          <w:p w14:paraId="40F7E756" w14:textId="7C02F333" w:rsidR="00725F85" w:rsidRPr="0079337F" w:rsidRDefault="00606B94" w:rsidP="0079337F">
            <w:pPr>
              <w:pStyle w:val="TableText"/>
            </w:pPr>
            <w:r w:rsidRPr="0079337F">
              <w:t>Acidification potential</w:t>
            </w:r>
          </w:p>
        </w:tc>
        <w:tc>
          <w:tcPr>
            <w:tcW w:w="1440" w:type="dxa"/>
            <w:vAlign w:val="center"/>
          </w:tcPr>
          <w:p w14:paraId="0172ABD5" w14:textId="2D5CBB93" w:rsidR="00725F85" w:rsidRPr="0079337F" w:rsidRDefault="0013145F" w:rsidP="0079337F">
            <w:pPr>
              <w:pStyle w:val="TableText"/>
              <w:jc w:val="center"/>
            </w:pPr>
            <w:r w:rsidRPr="0079337F">
              <w:t>K</w:t>
            </w:r>
            <w:r w:rsidR="0042712B" w:rsidRPr="0079337F">
              <w:t>g</w:t>
            </w:r>
            <w:r w:rsidRPr="0079337F">
              <w:t xml:space="preserve"> SO</w:t>
            </w:r>
            <w:r w:rsidRPr="006A3197">
              <w:rPr>
                <w:vertAlign w:val="subscript"/>
              </w:rPr>
              <w:t>2</w:t>
            </w:r>
            <w:r w:rsidRPr="0079337F">
              <w:t>-Eq</w:t>
            </w:r>
          </w:p>
        </w:tc>
        <w:tc>
          <w:tcPr>
            <w:tcW w:w="1170" w:type="dxa"/>
            <w:vAlign w:val="center"/>
          </w:tcPr>
          <w:p w14:paraId="2736B8D6" w14:textId="6A00F5BC" w:rsidR="00725F85" w:rsidRPr="0079337F" w:rsidRDefault="00D940FA" w:rsidP="0079337F">
            <w:pPr>
              <w:pStyle w:val="TableText"/>
              <w:jc w:val="center"/>
            </w:pPr>
            <w:r w:rsidRPr="0079337F">
              <w:t>9.16E-1</w:t>
            </w:r>
          </w:p>
        </w:tc>
        <w:tc>
          <w:tcPr>
            <w:tcW w:w="1080" w:type="dxa"/>
            <w:vAlign w:val="center"/>
          </w:tcPr>
          <w:p w14:paraId="795DB4E5" w14:textId="7F962E68" w:rsidR="00725F85" w:rsidRPr="0079337F" w:rsidRDefault="00991A18" w:rsidP="0079337F">
            <w:pPr>
              <w:pStyle w:val="TableText"/>
              <w:jc w:val="center"/>
            </w:pPr>
            <w:r w:rsidRPr="0079337F">
              <w:t>6.21E-1</w:t>
            </w:r>
          </w:p>
        </w:tc>
        <w:tc>
          <w:tcPr>
            <w:tcW w:w="1080" w:type="dxa"/>
            <w:vAlign w:val="center"/>
          </w:tcPr>
          <w:p w14:paraId="1AF1A1A7" w14:textId="669EF5AF" w:rsidR="00725F85" w:rsidRPr="0079337F" w:rsidRDefault="0063060A" w:rsidP="0079337F">
            <w:pPr>
              <w:pStyle w:val="TableText"/>
              <w:jc w:val="center"/>
            </w:pPr>
            <w:r w:rsidRPr="0079337F">
              <w:t>6.72E-1</w:t>
            </w:r>
          </w:p>
        </w:tc>
        <w:tc>
          <w:tcPr>
            <w:tcW w:w="1160" w:type="dxa"/>
            <w:vAlign w:val="center"/>
          </w:tcPr>
          <w:p w14:paraId="42D3477A" w14:textId="1000454B" w:rsidR="00725F85" w:rsidRPr="0079337F" w:rsidRDefault="00D938B9" w:rsidP="0079337F">
            <w:pPr>
              <w:pStyle w:val="TableText"/>
              <w:jc w:val="center"/>
            </w:pPr>
            <w:r w:rsidRPr="0079337F">
              <w:t>7.58E-1</w:t>
            </w:r>
          </w:p>
        </w:tc>
      </w:tr>
      <w:tr w:rsidR="0065155F" w:rsidRPr="0079337F" w14:paraId="53E8C517" w14:textId="77777777" w:rsidTr="0065155F">
        <w:trPr>
          <w:cnfStyle w:val="000000010000" w:firstRow="0" w:lastRow="0" w:firstColumn="0" w:lastColumn="0" w:oddVBand="0" w:evenVBand="0" w:oddHBand="0" w:evenHBand="1" w:firstRowFirstColumn="0" w:firstRowLastColumn="0" w:lastRowFirstColumn="0" w:lastRowLastColumn="0"/>
        </w:trPr>
        <w:tc>
          <w:tcPr>
            <w:tcW w:w="3420" w:type="dxa"/>
            <w:vAlign w:val="center"/>
          </w:tcPr>
          <w:p w14:paraId="482D7AA8" w14:textId="3657EBC0" w:rsidR="00606B94" w:rsidRPr="0079337F" w:rsidRDefault="00A7627C" w:rsidP="0079337F">
            <w:pPr>
              <w:pStyle w:val="TableText"/>
            </w:pPr>
            <w:r w:rsidRPr="0079337F">
              <w:t>Eutrophication potential</w:t>
            </w:r>
          </w:p>
        </w:tc>
        <w:tc>
          <w:tcPr>
            <w:tcW w:w="1440" w:type="dxa"/>
            <w:vAlign w:val="center"/>
          </w:tcPr>
          <w:p w14:paraId="13C75DF8" w14:textId="323332AC" w:rsidR="00606B94" w:rsidRPr="0079337F" w:rsidRDefault="0013145F" w:rsidP="0079337F">
            <w:pPr>
              <w:pStyle w:val="TableText"/>
              <w:jc w:val="center"/>
            </w:pPr>
            <w:r w:rsidRPr="0079337F">
              <w:t xml:space="preserve">Kg </w:t>
            </w:r>
            <w:r w:rsidR="00F06FE2" w:rsidRPr="0079337F">
              <w:t>PO</w:t>
            </w:r>
            <w:r w:rsidR="00F06FE2" w:rsidRPr="006A3197">
              <w:rPr>
                <w:vertAlign w:val="subscript"/>
              </w:rPr>
              <w:t>4</w:t>
            </w:r>
            <w:r w:rsidR="00F06FE2" w:rsidRPr="0079337F">
              <w:t>-Eq</w:t>
            </w:r>
          </w:p>
        </w:tc>
        <w:tc>
          <w:tcPr>
            <w:tcW w:w="1170" w:type="dxa"/>
            <w:vAlign w:val="center"/>
          </w:tcPr>
          <w:p w14:paraId="626CABE3" w14:textId="2BAC27BC" w:rsidR="00606B94" w:rsidRPr="0079337F" w:rsidRDefault="00D940FA" w:rsidP="0079337F">
            <w:pPr>
              <w:pStyle w:val="TableText"/>
              <w:jc w:val="center"/>
            </w:pPr>
            <w:r w:rsidRPr="0079337F">
              <w:t>2.15E-1</w:t>
            </w:r>
          </w:p>
        </w:tc>
        <w:tc>
          <w:tcPr>
            <w:tcW w:w="1080" w:type="dxa"/>
            <w:vAlign w:val="center"/>
          </w:tcPr>
          <w:p w14:paraId="7E0B1786" w14:textId="27DD596B" w:rsidR="00606B94" w:rsidRPr="0079337F" w:rsidRDefault="00991A18" w:rsidP="0079337F">
            <w:pPr>
              <w:pStyle w:val="TableText"/>
              <w:jc w:val="center"/>
            </w:pPr>
            <w:r w:rsidRPr="0079337F">
              <w:t>1.44E-1</w:t>
            </w:r>
          </w:p>
        </w:tc>
        <w:tc>
          <w:tcPr>
            <w:tcW w:w="1080" w:type="dxa"/>
            <w:vAlign w:val="center"/>
          </w:tcPr>
          <w:p w14:paraId="0A927DBF" w14:textId="0ADFE8C8" w:rsidR="00606B94" w:rsidRPr="0079337F" w:rsidRDefault="0063060A" w:rsidP="0079337F">
            <w:pPr>
              <w:pStyle w:val="TableText"/>
              <w:jc w:val="center"/>
            </w:pPr>
            <w:r w:rsidRPr="0079337F">
              <w:t>1.26E-1</w:t>
            </w:r>
          </w:p>
        </w:tc>
        <w:tc>
          <w:tcPr>
            <w:tcW w:w="1160" w:type="dxa"/>
            <w:vAlign w:val="center"/>
          </w:tcPr>
          <w:p w14:paraId="30EECAD9" w14:textId="7AE59D0F" w:rsidR="00606B94" w:rsidRPr="0079337F" w:rsidRDefault="00D938B9" w:rsidP="0079337F">
            <w:pPr>
              <w:pStyle w:val="TableText"/>
              <w:jc w:val="center"/>
            </w:pPr>
            <w:r w:rsidRPr="0079337F">
              <w:t>1.41E-1</w:t>
            </w:r>
          </w:p>
        </w:tc>
      </w:tr>
      <w:tr w:rsidR="00606B94" w:rsidRPr="0079337F" w14:paraId="4993FF6A" w14:textId="77777777" w:rsidTr="0065155F">
        <w:tc>
          <w:tcPr>
            <w:tcW w:w="3420" w:type="dxa"/>
            <w:vAlign w:val="center"/>
          </w:tcPr>
          <w:p w14:paraId="56A7EF33" w14:textId="3785298A" w:rsidR="00606B94" w:rsidRPr="0079337F" w:rsidRDefault="00A7627C" w:rsidP="0079337F">
            <w:pPr>
              <w:pStyle w:val="TableText"/>
            </w:pPr>
            <w:r w:rsidRPr="0079337F">
              <w:t xml:space="preserve">Hazardous </w:t>
            </w:r>
            <w:r w:rsidR="00582078">
              <w:t>w</w:t>
            </w:r>
            <w:r w:rsidRPr="0079337F">
              <w:t>aste landfilled</w:t>
            </w:r>
          </w:p>
        </w:tc>
        <w:tc>
          <w:tcPr>
            <w:tcW w:w="1440" w:type="dxa"/>
            <w:vAlign w:val="center"/>
          </w:tcPr>
          <w:p w14:paraId="039055DE" w14:textId="3D54BAEE" w:rsidR="00606B94" w:rsidRPr="0079337F" w:rsidRDefault="00F06FE2" w:rsidP="0079337F">
            <w:pPr>
              <w:pStyle w:val="TableText"/>
              <w:jc w:val="center"/>
            </w:pPr>
            <w:r w:rsidRPr="0079337F">
              <w:t>Kg waste</w:t>
            </w:r>
          </w:p>
        </w:tc>
        <w:tc>
          <w:tcPr>
            <w:tcW w:w="1170" w:type="dxa"/>
            <w:vAlign w:val="center"/>
          </w:tcPr>
          <w:p w14:paraId="533ACD0F" w14:textId="790401F4" w:rsidR="00606B94" w:rsidRPr="0079337F" w:rsidRDefault="00D940FA" w:rsidP="0079337F">
            <w:pPr>
              <w:pStyle w:val="TableText"/>
              <w:jc w:val="center"/>
            </w:pPr>
            <w:r w:rsidRPr="0079337F">
              <w:t>4.08E-3</w:t>
            </w:r>
          </w:p>
        </w:tc>
        <w:tc>
          <w:tcPr>
            <w:tcW w:w="1080" w:type="dxa"/>
            <w:vAlign w:val="center"/>
          </w:tcPr>
          <w:p w14:paraId="11D9A71F" w14:textId="01F6BF62" w:rsidR="00606B94" w:rsidRPr="0079337F" w:rsidRDefault="00991A18" w:rsidP="0079337F">
            <w:pPr>
              <w:pStyle w:val="TableText"/>
              <w:jc w:val="center"/>
            </w:pPr>
            <w:r w:rsidRPr="0079337F">
              <w:t>2.11E-3</w:t>
            </w:r>
          </w:p>
        </w:tc>
        <w:tc>
          <w:tcPr>
            <w:tcW w:w="1080" w:type="dxa"/>
            <w:vAlign w:val="center"/>
          </w:tcPr>
          <w:p w14:paraId="65ED0E9A" w14:textId="3FD795E8" w:rsidR="00606B94" w:rsidRPr="0079337F" w:rsidRDefault="0063060A" w:rsidP="0079337F">
            <w:pPr>
              <w:pStyle w:val="TableText"/>
              <w:jc w:val="center"/>
            </w:pPr>
            <w:r w:rsidRPr="0079337F">
              <w:t>2.20E-3</w:t>
            </w:r>
          </w:p>
        </w:tc>
        <w:tc>
          <w:tcPr>
            <w:tcW w:w="1160" w:type="dxa"/>
            <w:vAlign w:val="center"/>
          </w:tcPr>
          <w:p w14:paraId="52560894" w14:textId="0DA2AA02" w:rsidR="00606B94" w:rsidRPr="0079337F" w:rsidRDefault="00D938B9" w:rsidP="0079337F">
            <w:pPr>
              <w:pStyle w:val="TableText"/>
              <w:jc w:val="center"/>
            </w:pPr>
            <w:r w:rsidRPr="0079337F">
              <w:t>2.36E-3</w:t>
            </w:r>
          </w:p>
        </w:tc>
      </w:tr>
      <w:tr w:rsidR="0065155F" w:rsidRPr="0079337F" w14:paraId="3BBC1F58" w14:textId="77777777" w:rsidTr="0065155F">
        <w:trPr>
          <w:cnfStyle w:val="000000010000" w:firstRow="0" w:lastRow="0" w:firstColumn="0" w:lastColumn="0" w:oddVBand="0" w:evenVBand="0" w:oddHBand="0" w:evenHBand="1" w:firstRowFirstColumn="0" w:firstRowLastColumn="0" w:lastRowFirstColumn="0" w:lastRowLastColumn="0"/>
        </w:trPr>
        <w:tc>
          <w:tcPr>
            <w:tcW w:w="3420" w:type="dxa"/>
            <w:vAlign w:val="center"/>
          </w:tcPr>
          <w:p w14:paraId="346132FA" w14:textId="37E2A617" w:rsidR="00A7627C" w:rsidRPr="0079337F" w:rsidRDefault="00A7627C" w:rsidP="0079337F">
            <w:pPr>
              <w:pStyle w:val="TableText"/>
            </w:pPr>
            <w:r w:rsidRPr="0079337F">
              <w:t xml:space="preserve">Non-hazardous </w:t>
            </w:r>
            <w:r w:rsidR="006E0B55" w:rsidRPr="0079337F">
              <w:t>waste landfilled</w:t>
            </w:r>
          </w:p>
        </w:tc>
        <w:tc>
          <w:tcPr>
            <w:tcW w:w="1440" w:type="dxa"/>
            <w:vAlign w:val="center"/>
          </w:tcPr>
          <w:p w14:paraId="0FED7DF6" w14:textId="796AAA98" w:rsidR="00A7627C" w:rsidRPr="0079337F" w:rsidRDefault="00F06FE2" w:rsidP="0079337F">
            <w:pPr>
              <w:pStyle w:val="TableText"/>
              <w:jc w:val="center"/>
            </w:pPr>
            <w:r w:rsidRPr="0079337F">
              <w:t>Kg waste</w:t>
            </w:r>
          </w:p>
        </w:tc>
        <w:tc>
          <w:tcPr>
            <w:tcW w:w="1170" w:type="dxa"/>
            <w:vAlign w:val="center"/>
          </w:tcPr>
          <w:p w14:paraId="2505F161" w14:textId="198FC415" w:rsidR="00A7627C" w:rsidRPr="0079337F" w:rsidRDefault="00D940FA" w:rsidP="0079337F">
            <w:pPr>
              <w:pStyle w:val="TableText"/>
              <w:jc w:val="center"/>
            </w:pPr>
            <w:r w:rsidRPr="0079337F">
              <w:t>4.29E+0</w:t>
            </w:r>
          </w:p>
        </w:tc>
        <w:tc>
          <w:tcPr>
            <w:tcW w:w="1080" w:type="dxa"/>
            <w:vAlign w:val="center"/>
          </w:tcPr>
          <w:p w14:paraId="7009D3C0" w14:textId="47676209" w:rsidR="00A7627C" w:rsidRPr="0079337F" w:rsidRDefault="00991A18" w:rsidP="0079337F">
            <w:pPr>
              <w:pStyle w:val="TableText"/>
              <w:jc w:val="center"/>
            </w:pPr>
            <w:r w:rsidRPr="0079337F">
              <w:t>3.13E+0</w:t>
            </w:r>
          </w:p>
        </w:tc>
        <w:tc>
          <w:tcPr>
            <w:tcW w:w="1080" w:type="dxa"/>
            <w:vAlign w:val="center"/>
          </w:tcPr>
          <w:p w14:paraId="440D71D3" w14:textId="57F747A4" w:rsidR="00A7627C" w:rsidRPr="0079337F" w:rsidRDefault="0063060A" w:rsidP="0079337F">
            <w:pPr>
              <w:pStyle w:val="TableText"/>
              <w:jc w:val="center"/>
            </w:pPr>
            <w:r w:rsidRPr="0079337F">
              <w:t>2.96E+0</w:t>
            </w:r>
          </w:p>
        </w:tc>
        <w:tc>
          <w:tcPr>
            <w:tcW w:w="1160" w:type="dxa"/>
            <w:vAlign w:val="center"/>
          </w:tcPr>
          <w:p w14:paraId="52D475E8" w14:textId="2E17CF0F" w:rsidR="00A7627C" w:rsidRPr="0079337F" w:rsidRDefault="00D938B9" w:rsidP="0079337F">
            <w:pPr>
              <w:pStyle w:val="TableText"/>
              <w:jc w:val="center"/>
            </w:pPr>
            <w:r w:rsidRPr="0079337F">
              <w:t>3.21E+0</w:t>
            </w:r>
          </w:p>
        </w:tc>
      </w:tr>
      <w:tr w:rsidR="00A7627C" w:rsidRPr="0079337F" w14:paraId="270D0BB8" w14:textId="77777777" w:rsidTr="0065155F">
        <w:tc>
          <w:tcPr>
            <w:tcW w:w="3420" w:type="dxa"/>
            <w:vAlign w:val="center"/>
          </w:tcPr>
          <w:p w14:paraId="6A2F63C8" w14:textId="1F238FE5" w:rsidR="00A7627C" w:rsidRPr="0079337F" w:rsidRDefault="006E0B55" w:rsidP="0079337F">
            <w:pPr>
              <w:pStyle w:val="TableText"/>
            </w:pPr>
            <w:r w:rsidRPr="0079337F">
              <w:t>Radioactive waste landfilled</w:t>
            </w:r>
          </w:p>
        </w:tc>
        <w:tc>
          <w:tcPr>
            <w:tcW w:w="1440" w:type="dxa"/>
            <w:vAlign w:val="center"/>
          </w:tcPr>
          <w:p w14:paraId="3713DA35" w14:textId="05240F4E" w:rsidR="00A7627C" w:rsidRPr="0079337F" w:rsidRDefault="00F06FE2" w:rsidP="0079337F">
            <w:pPr>
              <w:pStyle w:val="TableText"/>
              <w:jc w:val="center"/>
            </w:pPr>
            <w:r w:rsidRPr="0079337F">
              <w:t>Kg waste</w:t>
            </w:r>
          </w:p>
        </w:tc>
        <w:tc>
          <w:tcPr>
            <w:tcW w:w="1170" w:type="dxa"/>
            <w:vAlign w:val="center"/>
          </w:tcPr>
          <w:p w14:paraId="0FA6E1F9" w14:textId="2FB0A4FD" w:rsidR="00A7627C" w:rsidRPr="0079337F" w:rsidRDefault="00D940FA" w:rsidP="0079337F">
            <w:pPr>
              <w:pStyle w:val="TableText"/>
              <w:jc w:val="center"/>
            </w:pPr>
            <w:r w:rsidRPr="0079337F">
              <w:t>2.34E-2</w:t>
            </w:r>
          </w:p>
        </w:tc>
        <w:tc>
          <w:tcPr>
            <w:tcW w:w="1080" w:type="dxa"/>
            <w:vAlign w:val="center"/>
          </w:tcPr>
          <w:p w14:paraId="1037C236" w14:textId="16BBAC45" w:rsidR="00A7627C" w:rsidRPr="0079337F" w:rsidRDefault="00991A18" w:rsidP="0079337F">
            <w:pPr>
              <w:pStyle w:val="TableText"/>
              <w:jc w:val="center"/>
            </w:pPr>
            <w:r w:rsidRPr="0079337F">
              <w:t>1.64E-2</w:t>
            </w:r>
          </w:p>
        </w:tc>
        <w:tc>
          <w:tcPr>
            <w:tcW w:w="1080" w:type="dxa"/>
            <w:vAlign w:val="center"/>
          </w:tcPr>
          <w:p w14:paraId="4622404C" w14:textId="3C6174EC" w:rsidR="00A7627C" w:rsidRPr="0079337F" w:rsidRDefault="0063060A" w:rsidP="0079337F">
            <w:pPr>
              <w:pStyle w:val="TableText"/>
              <w:jc w:val="center"/>
            </w:pPr>
            <w:r w:rsidRPr="0079337F">
              <w:t>1.80E-2</w:t>
            </w:r>
          </w:p>
        </w:tc>
        <w:tc>
          <w:tcPr>
            <w:tcW w:w="1160" w:type="dxa"/>
            <w:vAlign w:val="center"/>
          </w:tcPr>
          <w:p w14:paraId="2B0983AB" w14:textId="1C515283" w:rsidR="00A7627C" w:rsidRPr="0079337F" w:rsidRDefault="00D938B9" w:rsidP="0079337F">
            <w:pPr>
              <w:pStyle w:val="TableText"/>
              <w:jc w:val="center"/>
            </w:pPr>
            <w:r w:rsidRPr="0079337F">
              <w:t>2.04E-2</w:t>
            </w:r>
          </w:p>
        </w:tc>
      </w:tr>
    </w:tbl>
    <w:p w14:paraId="6683090D" w14:textId="2ED8EFEC" w:rsidR="00933C48" w:rsidRDefault="00933C48" w:rsidP="003C23A4">
      <w:pPr>
        <w:pStyle w:val="BodyText"/>
      </w:pPr>
      <w:r>
        <w:t xml:space="preserve">The table summary gives us the ability to quickly scan the specific impact categories, but a figure is often useful. Since each impact category has a different unit, we need to normalize the units. This is </w:t>
      </w:r>
      <w:r>
        <w:lastRenderedPageBreak/>
        <w:t>sometimes done using a spider graph</w:t>
      </w:r>
      <w:r w:rsidR="003326F1">
        <w:t>,</w:t>
      </w:r>
      <w:r>
        <w:t xml:space="preserve"> as shown in </w:t>
      </w:r>
      <w:r w:rsidR="006C561A">
        <w:fldChar w:fldCharType="begin"/>
      </w:r>
      <w:r w:rsidR="006C561A">
        <w:instrText xml:space="preserve"> REF _Ref51324556 \h </w:instrText>
      </w:r>
      <w:r w:rsidR="006C561A">
        <w:fldChar w:fldCharType="separate"/>
      </w:r>
      <w:r w:rsidR="006C561A">
        <w:t xml:space="preserve">Figure </w:t>
      </w:r>
      <w:r w:rsidR="006C561A">
        <w:rPr>
          <w:noProof/>
        </w:rPr>
        <w:t>1</w:t>
      </w:r>
      <w:r w:rsidR="006C561A">
        <w:fldChar w:fldCharType="end"/>
      </w:r>
      <w:r>
        <w:t xml:space="preserve">. The units are normalized on a scale of 0 to 1, and each product has a unique web. Based on this graph and the table, if we wanted to select the lighting product with the lowest global warming potential, we might select product 1. </w:t>
      </w:r>
    </w:p>
    <w:p w14:paraId="14E12103" w14:textId="7D3C13F5" w:rsidR="00933C48" w:rsidRDefault="000241BF" w:rsidP="003C23A4">
      <w:pPr>
        <w:pStyle w:val="Figure"/>
      </w:pPr>
      <w:r>
        <w:rPr>
          <w:noProof/>
        </w:rPr>
        <w:drawing>
          <wp:inline distT="0" distB="0" distL="0" distR="0" wp14:anchorId="4D61685B" wp14:editId="2F59DE4D">
            <wp:extent cx="6939541" cy="536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6871" cy="5375967"/>
                    </a:xfrm>
                    <a:prstGeom prst="rect">
                      <a:avLst/>
                    </a:prstGeom>
                    <a:noFill/>
                    <a:ln>
                      <a:noFill/>
                    </a:ln>
                  </pic:spPr>
                </pic:pic>
              </a:graphicData>
            </a:graphic>
          </wp:inline>
        </w:drawing>
      </w:r>
    </w:p>
    <w:p w14:paraId="1BBC25BE" w14:textId="04EC9580" w:rsidR="00933C48" w:rsidRDefault="00933C48" w:rsidP="003C23A4">
      <w:pPr>
        <w:pStyle w:val="Caption-Fig"/>
      </w:pPr>
      <w:bookmarkStart w:id="1" w:name="_Ref51324556"/>
      <w:r>
        <w:t xml:space="preserve">Figure </w:t>
      </w:r>
      <w:r w:rsidR="00811978">
        <w:fldChar w:fldCharType="begin"/>
      </w:r>
      <w:r w:rsidR="00811978">
        <w:instrText xml:space="preserve"> SEQ Figure \* ARABIC </w:instrText>
      </w:r>
      <w:r w:rsidR="00811978">
        <w:fldChar w:fldCharType="separate"/>
      </w:r>
      <w:r w:rsidR="00FC201C">
        <w:rPr>
          <w:noProof/>
        </w:rPr>
        <w:t>1</w:t>
      </w:r>
      <w:r w:rsidR="00811978">
        <w:rPr>
          <w:noProof/>
        </w:rPr>
        <w:fldChar w:fldCharType="end"/>
      </w:r>
      <w:bookmarkEnd w:id="1"/>
      <w:r>
        <w:t>.</w:t>
      </w:r>
      <w:r w:rsidR="00FC201C">
        <w:tab/>
      </w:r>
      <w:r>
        <w:t xml:space="preserve">Example </w:t>
      </w:r>
      <w:r w:rsidR="00E036C0">
        <w:t>spider graph</w:t>
      </w:r>
      <w:r>
        <w:t xml:space="preserve"> based on the LCA for different lighting options, adapted from Dillon et al.</w:t>
      </w:r>
      <w:r w:rsidR="00FC201C">
        <w:t xml:space="preserve"> (2019)</w:t>
      </w:r>
    </w:p>
    <w:p w14:paraId="1C009F9A" w14:textId="48F592E1" w:rsidR="00933C48" w:rsidRDefault="00933C48" w:rsidP="003C23A4">
      <w:pPr>
        <w:pStyle w:val="BodyText"/>
      </w:pPr>
      <w:r>
        <w:t xml:space="preserve">Another way to consider the results is breaking out the information by the part of the process. </w:t>
      </w:r>
      <w:r w:rsidR="006C561A">
        <w:fldChar w:fldCharType="begin"/>
      </w:r>
      <w:r w:rsidR="006C561A">
        <w:instrText xml:space="preserve"> REF _Ref51324567 \h </w:instrText>
      </w:r>
      <w:r w:rsidR="006C561A">
        <w:fldChar w:fldCharType="separate"/>
      </w:r>
      <w:r w:rsidR="006C561A">
        <w:t xml:space="preserve">Figure </w:t>
      </w:r>
      <w:r w:rsidR="006C561A">
        <w:rPr>
          <w:noProof/>
        </w:rPr>
        <w:t>2</w:t>
      </w:r>
      <w:r w:rsidR="006C561A">
        <w:fldChar w:fldCharType="end"/>
      </w:r>
      <w:r>
        <w:t xml:space="preserve"> is an example of how interesting this result might be. For energy consumption, this study reviewed many LCAs and tracked energy use by process. While transportation of the product and manufacturing are important, the energy of the lighting product during use is dramatically higher than any other phase of the product life cycle. This is an important insight about lighting that led subsequent research teams to focus on environmental impacts rather than energy since the LED lighting options were so dramatically improved for energy and cost already. </w:t>
      </w:r>
    </w:p>
    <w:p w14:paraId="58CB4B50" w14:textId="77777777" w:rsidR="00933C48" w:rsidRDefault="00933C48" w:rsidP="003C23A4">
      <w:pPr>
        <w:pStyle w:val="Figure"/>
      </w:pPr>
      <w:r w:rsidRPr="005D6A78">
        <w:rPr>
          <w:noProof/>
        </w:rPr>
        <w:lastRenderedPageBreak/>
        <w:drawing>
          <wp:inline distT="0" distB="0" distL="0" distR="0" wp14:anchorId="14ACDDB8" wp14:editId="46C29E3B">
            <wp:extent cx="5943600" cy="32993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8038"/>
                    <a:stretch/>
                  </pic:blipFill>
                  <pic:spPr bwMode="auto">
                    <a:xfrm>
                      <a:off x="0" y="0"/>
                      <a:ext cx="5943600" cy="3299381"/>
                    </a:xfrm>
                    <a:prstGeom prst="rect">
                      <a:avLst/>
                    </a:prstGeom>
                    <a:ln>
                      <a:noFill/>
                    </a:ln>
                    <a:extLst>
                      <a:ext uri="{53640926-AAD7-44D8-BBD7-CCE9431645EC}">
                        <a14:shadowObscured xmlns:a14="http://schemas.microsoft.com/office/drawing/2010/main"/>
                      </a:ext>
                    </a:extLst>
                  </pic:spPr>
                </pic:pic>
              </a:graphicData>
            </a:graphic>
          </wp:inline>
        </w:drawing>
      </w:r>
    </w:p>
    <w:p w14:paraId="0A1514C8" w14:textId="5373D055" w:rsidR="00933C48" w:rsidRPr="00241CD4" w:rsidRDefault="00933C48" w:rsidP="003C23A4">
      <w:pPr>
        <w:pStyle w:val="Caption-Fig"/>
      </w:pPr>
      <w:bookmarkStart w:id="2" w:name="_Ref51324567"/>
      <w:r>
        <w:t xml:space="preserve">Figure </w:t>
      </w:r>
      <w:r w:rsidR="00811978">
        <w:fldChar w:fldCharType="begin"/>
      </w:r>
      <w:r w:rsidR="00811978">
        <w:instrText xml:space="preserve"> SEQ Figure </w:instrText>
      </w:r>
      <w:r w:rsidR="00811978">
        <w:instrText xml:space="preserve">\* ARABIC </w:instrText>
      </w:r>
      <w:r w:rsidR="00811978">
        <w:fldChar w:fldCharType="separate"/>
      </w:r>
      <w:r w:rsidR="00FC201C">
        <w:rPr>
          <w:noProof/>
        </w:rPr>
        <w:t>2</w:t>
      </w:r>
      <w:r w:rsidR="00811978">
        <w:rPr>
          <w:noProof/>
        </w:rPr>
        <w:fldChar w:fldCharType="end"/>
      </w:r>
      <w:bookmarkEnd w:id="2"/>
      <w:r>
        <w:t>.</w:t>
      </w:r>
      <w:r w:rsidR="00FC201C">
        <w:tab/>
      </w:r>
      <w:r>
        <w:t>LCA summary for lamp</w:t>
      </w:r>
      <w:r w:rsidR="006A2968">
        <w:t xml:space="preserve"> types</w:t>
      </w:r>
      <w:r>
        <w:t xml:space="preserve"> based on different processes steps</w:t>
      </w:r>
      <w:r w:rsidR="00FC201C">
        <w:t xml:space="preserve"> (Navigant Consulting 2012)</w:t>
      </w:r>
    </w:p>
    <w:p w14:paraId="35C715E3" w14:textId="77777777" w:rsidR="00933C48" w:rsidRDefault="00933C48" w:rsidP="003C23A4">
      <w:pPr>
        <w:pStyle w:val="BodyText"/>
      </w:pPr>
      <w:r>
        <w:t xml:space="preserve">As part of the uncertainty analysis it is often helpful to consider specific process steps as well. </w:t>
      </w:r>
    </w:p>
    <w:p w14:paraId="319F6E12" w14:textId="1D5E706B" w:rsidR="00933C48" w:rsidRDefault="00933C48" w:rsidP="003C23A4">
      <w:pPr>
        <w:pStyle w:val="BodyText"/>
      </w:pPr>
      <w:r>
        <w:t xml:space="preserve">Cross-checking key processes for existing studies led to the results shown in </w:t>
      </w:r>
      <w:r w:rsidR="006C3873">
        <w:fldChar w:fldCharType="begin"/>
      </w:r>
      <w:r w:rsidR="006C3873">
        <w:instrText xml:space="preserve"> REF _Ref51324139 \h </w:instrText>
      </w:r>
      <w:r w:rsidR="006C3873">
        <w:fldChar w:fldCharType="separate"/>
      </w:r>
      <w:r w:rsidR="006C3873">
        <w:t xml:space="preserve">Table </w:t>
      </w:r>
      <w:r w:rsidR="006C3873">
        <w:rPr>
          <w:noProof/>
        </w:rPr>
        <w:t>2</w:t>
      </w:r>
      <w:r w:rsidR="006C3873">
        <w:fldChar w:fldCharType="end"/>
      </w:r>
      <w:r>
        <w:t xml:space="preserve"> for the transportation process of the lights. This table outlines how two different studies calculated the same transportation process for the same impact categories. In this case</w:t>
      </w:r>
      <w:r w:rsidR="00AA2C29">
        <w:t>,</w:t>
      </w:r>
      <w:r>
        <w:t xml:space="preserve"> the last two columns can be compared to see where higher uncertainty might occur. </w:t>
      </w:r>
    </w:p>
    <w:p w14:paraId="7AFAF443" w14:textId="07371A21" w:rsidR="00933C48" w:rsidRDefault="006C3873" w:rsidP="003C23A4">
      <w:pPr>
        <w:pStyle w:val="Caption-Tab"/>
      </w:pPr>
      <w:bookmarkStart w:id="3" w:name="_Ref51324139"/>
      <w:r>
        <w:t xml:space="preserve">Table </w:t>
      </w:r>
      <w:fldSimple w:instr=" SEQ Table \* ARABIC ">
        <w:r>
          <w:rPr>
            <w:noProof/>
          </w:rPr>
          <w:t>2</w:t>
        </w:r>
      </w:fldSimple>
      <w:bookmarkEnd w:id="3"/>
      <w:r>
        <w:t>.</w:t>
      </w:r>
      <w:r>
        <w:tab/>
      </w:r>
      <w:r w:rsidR="00933C48">
        <w:t>Example of one aspect of the uncertainty analysis for the lighting LCA</w:t>
      </w:r>
      <w:r>
        <w:t>; i</w:t>
      </w:r>
      <w:r w:rsidR="00933C48">
        <w:t>n this case, the authors compared prior work with that of an update inventory database</w:t>
      </w:r>
      <w:r>
        <w:t xml:space="preserve"> (Dillon et al. 2019)</w:t>
      </w:r>
    </w:p>
    <w:tbl>
      <w:tblPr>
        <w:tblStyle w:val="PNNLClassic"/>
        <w:tblW w:w="0" w:type="auto"/>
        <w:tblLook w:val="04A0" w:firstRow="1" w:lastRow="0" w:firstColumn="1" w:lastColumn="0" w:noHBand="0" w:noVBand="1"/>
      </w:tblPr>
      <w:tblGrid>
        <w:gridCol w:w="2700"/>
        <w:gridCol w:w="1974"/>
        <w:gridCol w:w="2526"/>
        <w:gridCol w:w="2150"/>
      </w:tblGrid>
      <w:tr w:rsidR="0059249A" w:rsidRPr="00500C4B" w14:paraId="753EF311" w14:textId="77777777" w:rsidTr="00320EA9">
        <w:trPr>
          <w:cnfStyle w:val="100000000000" w:firstRow="1" w:lastRow="0" w:firstColumn="0" w:lastColumn="0" w:oddVBand="0" w:evenVBand="0" w:oddHBand="0" w:evenHBand="0" w:firstRowFirstColumn="0" w:firstRowLastColumn="0" w:lastRowFirstColumn="0" w:lastRowLastColumn="0"/>
          <w:tblHeader/>
        </w:trPr>
        <w:tc>
          <w:tcPr>
            <w:tcW w:w="2700" w:type="dxa"/>
            <w:vAlign w:val="center"/>
          </w:tcPr>
          <w:p w14:paraId="6E148E30" w14:textId="092AF34E" w:rsidR="0059249A" w:rsidRPr="00320EA9" w:rsidRDefault="00272928" w:rsidP="00320EA9">
            <w:pPr>
              <w:rPr>
                <w:rFonts w:ascii="Calibri" w:hAnsi="Calibri" w:cs="Calibri"/>
                <w:b/>
                <w:bCs/>
                <w:sz w:val="20"/>
                <w:szCs w:val="20"/>
              </w:rPr>
            </w:pPr>
            <w:r w:rsidRPr="00320EA9">
              <w:rPr>
                <w:rFonts w:ascii="Calibri" w:hAnsi="Calibri" w:cs="Calibri"/>
                <w:b/>
                <w:bCs/>
                <w:sz w:val="20"/>
                <w:szCs w:val="20"/>
              </w:rPr>
              <w:t>Impact Category</w:t>
            </w:r>
          </w:p>
        </w:tc>
        <w:tc>
          <w:tcPr>
            <w:tcW w:w="1974" w:type="dxa"/>
            <w:vAlign w:val="center"/>
          </w:tcPr>
          <w:p w14:paraId="259FB2A9" w14:textId="3AA18A6F" w:rsidR="0059249A" w:rsidRPr="00320EA9" w:rsidRDefault="00272928" w:rsidP="00320EA9">
            <w:pPr>
              <w:rPr>
                <w:rFonts w:ascii="Calibri" w:hAnsi="Calibri" w:cs="Calibri"/>
                <w:b/>
                <w:bCs/>
                <w:sz w:val="20"/>
                <w:szCs w:val="20"/>
              </w:rPr>
            </w:pPr>
            <w:r w:rsidRPr="00320EA9">
              <w:rPr>
                <w:rFonts w:ascii="Calibri" w:hAnsi="Calibri" w:cs="Calibri"/>
                <w:b/>
                <w:bCs/>
                <w:sz w:val="20"/>
                <w:szCs w:val="20"/>
              </w:rPr>
              <w:t>Units</w:t>
            </w:r>
          </w:p>
        </w:tc>
        <w:tc>
          <w:tcPr>
            <w:tcW w:w="2526" w:type="dxa"/>
            <w:vAlign w:val="center"/>
          </w:tcPr>
          <w:p w14:paraId="7A95D488" w14:textId="6984178B" w:rsidR="0059249A" w:rsidRPr="00320EA9" w:rsidRDefault="00272928" w:rsidP="00320EA9">
            <w:pPr>
              <w:rPr>
                <w:rFonts w:ascii="Calibri" w:hAnsi="Calibri" w:cs="Calibri"/>
                <w:b/>
                <w:bCs/>
                <w:sz w:val="20"/>
                <w:szCs w:val="20"/>
              </w:rPr>
            </w:pPr>
            <w:proofErr w:type="spellStart"/>
            <w:r w:rsidRPr="00320EA9">
              <w:rPr>
                <w:rFonts w:ascii="Calibri" w:hAnsi="Calibri" w:cs="Calibri"/>
                <w:b/>
                <w:bCs/>
                <w:sz w:val="20"/>
                <w:szCs w:val="20"/>
              </w:rPr>
              <w:t>Scholand</w:t>
            </w:r>
            <w:proofErr w:type="spellEnd"/>
            <w:r w:rsidRPr="00320EA9">
              <w:rPr>
                <w:rFonts w:ascii="Calibri" w:hAnsi="Calibri" w:cs="Calibri"/>
                <w:b/>
                <w:bCs/>
                <w:sz w:val="20"/>
                <w:szCs w:val="20"/>
              </w:rPr>
              <w:t xml:space="preserve"> and Dillon (2012)</w:t>
            </w:r>
          </w:p>
        </w:tc>
        <w:tc>
          <w:tcPr>
            <w:tcW w:w="2150" w:type="dxa"/>
            <w:vAlign w:val="center"/>
          </w:tcPr>
          <w:p w14:paraId="61076F1F" w14:textId="63B7BA8E" w:rsidR="0059249A" w:rsidRPr="00320EA9" w:rsidRDefault="009A54DE" w:rsidP="00320EA9">
            <w:pPr>
              <w:rPr>
                <w:rFonts w:ascii="Calibri" w:hAnsi="Calibri" w:cs="Calibri"/>
                <w:b/>
                <w:bCs/>
                <w:sz w:val="20"/>
                <w:szCs w:val="20"/>
              </w:rPr>
            </w:pPr>
            <w:proofErr w:type="spellStart"/>
            <w:r w:rsidRPr="00320EA9">
              <w:rPr>
                <w:rFonts w:ascii="Calibri" w:hAnsi="Calibri" w:cs="Calibri"/>
                <w:b/>
                <w:bCs/>
                <w:sz w:val="20"/>
                <w:szCs w:val="20"/>
              </w:rPr>
              <w:t>Ecoinvent</w:t>
            </w:r>
            <w:proofErr w:type="spellEnd"/>
            <w:r w:rsidRPr="00320EA9">
              <w:rPr>
                <w:rFonts w:ascii="Calibri" w:hAnsi="Calibri" w:cs="Calibri"/>
                <w:b/>
                <w:bCs/>
                <w:sz w:val="20"/>
                <w:szCs w:val="20"/>
              </w:rPr>
              <w:t xml:space="preserve"> (Version 3.0)</w:t>
            </w:r>
          </w:p>
        </w:tc>
      </w:tr>
      <w:tr w:rsidR="0059249A" w:rsidRPr="00500C4B" w14:paraId="68D72E50" w14:textId="77777777" w:rsidTr="00320EA9">
        <w:tc>
          <w:tcPr>
            <w:tcW w:w="2700" w:type="dxa"/>
            <w:vAlign w:val="center"/>
          </w:tcPr>
          <w:p w14:paraId="0AFFC838" w14:textId="5810665E" w:rsidR="0059249A" w:rsidRPr="00500C4B" w:rsidRDefault="009A54DE" w:rsidP="00320EA9">
            <w:pPr>
              <w:jc w:val="center"/>
              <w:rPr>
                <w:rFonts w:ascii="Calibri" w:hAnsi="Calibri" w:cs="Calibri"/>
                <w:sz w:val="20"/>
                <w:szCs w:val="20"/>
              </w:rPr>
            </w:pPr>
            <w:r>
              <w:rPr>
                <w:rFonts w:ascii="Calibri" w:hAnsi="Calibri" w:cs="Calibri"/>
                <w:sz w:val="20"/>
                <w:szCs w:val="20"/>
              </w:rPr>
              <w:t>Acidification potential</w:t>
            </w:r>
          </w:p>
        </w:tc>
        <w:tc>
          <w:tcPr>
            <w:tcW w:w="1974" w:type="dxa"/>
            <w:vAlign w:val="center"/>
          </w:tcPr>
          <w:p w14:paraId="11B0B555" w14:textId="2C7E8FD2" w:rsidR="0059249A" w:rsidRPr="00500C4B" w:rsidRDefault="006B32D5" w:rsidP="00320EA9">
            <w:pPr>
              <w:jc w:val="center"/>
              <w:rPr>
                <w:rFonts w:ascii="Calibri" w:hAnsi="Calibri" w:cs="Calibri"/>
                <w:sz w:val="20"/>
                <w:szCs w:val="20"/>
              </w:rPr>
            </w:pPr>
            <w:r>
              <w:rPr>
                <w:rFonts w:ascii="Calibri" w:hAnsi="Calibri" w:cs="Calibri"/>
                <w:sz w:val="20"/>
                <w:szCs w:val="20"/>
              </w:rPr>
              <w:t>k</w:t>
            </w:r>
            <w:r w:rsidR="00BD45EB">
              <w:rPr>
                <w:rFonts w:ascii="Calibri" w:hAnsi="Calibri" w:cs="Calibri"/>
                <w:sz w:val="20"/>
                <w:szCs w:val="20"/>
              </w:rPr>
              <w:t>g</w:t>
            </w:r>
            <w:r w:rsidR="00DE23BC">
              <w:rPr>
                <w:rFonts w:ascii="Calibri" w:hAnsi="Calibri" w:cs="Calibri"/>
                <w:sz w:val="20"/>
                <w:szCs w:val="20"/>
              </w:rPr>
              <w:t xml:space="preserve"> SO</w:t>
            </w:r>
            <w:r w:rsidR="000E6880" w:rsidRPr="001630F2">
              <w:rPr>
                <w:rFonts w:ascii="Calibri" w:hAnsi="Calibri" w:cs="Calibri"/>
                <w:sz w:val="20"/>
                <w:szCs w:val="20"/>
                <w:vertAlign w:val="subscript"/>
              </w:rPr>
              <w:t>2</w:t>
            </w:r>
            <w:r w:rsidR="000E6880">
              <w:rPr>
                <w:rFonts w:ascii="Calibri" w:hAnsi="Calibri" w:cs="Calibri"/>
                <w:sz w:val="20"/>
                <w:szCs w:val="20"/>
              </w:rPr>
              <w:t>-Eq</w:t>
            </w:r>
          </w:p>
        </w:tc>
        <w:tc>
          <w:tcPr>
            <w:tcW w:w="2526" w:type="dxa"/>
            <w:vAlign w:val="center"/>
          </w:tcPr>
          <w:p w14:paraId="43293F11" w14:textId="17F56DE6" w:rsidR="0059249A" w:rsidRPr="00500C4B" w:rsidRDefault="005D3F90" w:rsidP="00320EA9">
            <w:pPr>
              <w:jc w:val="center"/>
              <w:rPr>
                <w:rFonts w:ascii="Calibri" w:hAnsi="Calibri" w:cs="Calibri"/>
                <w:sz w:val="20"/>
                <w:szCs w:val="20"/>
              </w:rPr>
            </w:pPr>
            <w:r>
              <w:rPr>
                <w:rFonts w:ascii="Calibri" w:hAnsi="Calibri" w:cs="Calibri"/>
                <w:sz w:val="20"/>
                <w:szCs w:val="20"/>
              </w:rPr>
              <w:t>7.08E-04</w:t>
            </w:r>
          </w:p>
        </w:tc>
        <w:tc>
          <w:tcPr>
            <w:tcW w:w="2150" w:type="dxa"/>
            <w:vAlign w:val="center"/>
          </w:tcPr>
          <w:p w14:paraId="20654A11" w14:textId="38673A4F" w:rsidR="0059249A" w:rsidRPr="00500C4B" w:rsidRDefault="00140A93" w:rsidP="00320EA9">
            <w:pPr>
              <w:jc w:val="center"/>
              <w:rPr>
                <w:rFonts w:ascii="Calibri" w:hAnsi="Calibri" w:cs="Calibri"/>
                <w:sz w:val="20"/>
                <w:szCs w:val="20"/>
              </w:rPr>
            </w:pPr>
            <w:r>
              <w:rPr>
                <w:rFonts w:ascii="Calibri" w:hAnsi="Calibri" w:cs="Calibri"/>
                <w:sz w:val="20"/>
                <w:szCs w:val="20"/>
              </w:rPr>
              <w:t>7.37E-04</w:t>
            </w:r>
          </w:p>
        </w:tc>
      </w:tr>
      <w:tr w:rsidR="0059249A" w:rsidRPr="00500C4B" w14:paraId="7B40EBCC" w14:textId="77777777" w:rsidTr="00320EA9">
        <w:trPr>
          <w:cnfStyle w:val="000000010000" w:firstRow="0" w:lastRow="0" w:firstColumn="0" w:lastColumn="0" w:oddVBand="0" w:evenVBand="0" w:oddHBand="0" w:evenHBand="1" w:firstRowFirstColumn="0" w:firstRowLastColumn="0" w:lastRowFirstColumn="0" w:lastRowLastColumn="0"/>
        </w:trPr>
        <w:tc>
          <w:tcPr>
            <w:tcW w:w="2700" w:type="dxa"/>
            <w:vAlign w:val="center"/>
          </w:tcPr>
          <w:p w14:paraId="22189F7C" w14:textId="07A61E8D" w:rsidR="0059249A" w:rsidRPr="00500C4B" w:rsidRDefault="00A04031" w:rsidP="00320EA9">
            <w:pPr>
              <w:jc w:val="center"/>
              <w:rPr>
                <w:rFonts w:ascii="Calibri" w:hAnsi="Calibri" w:cs="Calibri"/>
                <w:sz w:val="20"/>
                <w:szCs w:val="20"/>
              </w:rPr>
            </w:pPr>
            <w:r>
              <w:rPr>
                <w:rFonts w:ascii="Calibri" w:hAnsi="Calibri" w:cs="Calibri"/>
                <w:sz w:val="20"/>
                <w:szCs w:val="20"/>
              </w:rPr>
              <w:t>Climate change</w:t>
            </w:r>
          </w:p>
        </w:tc>
        <w:tc>
          <w:tcPr>
            <w:tcW w:w="1974" w:type="dxa"/>
            <w:vAlign w:val="center"/>
          </w:tcPr>
          <w:p w14:paraId="25AB2B85" w14:textId="736561EE" w:rsidR="0059249A" w:rsidRPr="00500C4B" w:rsidRDefault="006B32D5" w:rsidP="00320EA9">
            <w:pPr>
              <w:jc w:val="center"/>
              <w:rPr>
                <w:rFonts w:ascii="Calibri" w:hAnsi="Calibri" w:cs="Calibri"/>
                <w:sz w:val="20"/>
                <w:szCs w:val="20"/>
              </w:rPr>
            </w:pPr>
            <w:r>
              <w:rPr>
                <w:rFonts w:ascii="Calibri" w:hAnsi="Calibri" w:cs="Calibri"/>
                <w:sz w:val="20"/>
                <w:szCs w:val="20"/>
              </w:rPr>
              <w:t>kg</w:t>
            </w:r>
            <w:r w:rsidR="000E6880">
              <w:rPr>
                <w:rFonts w:ascii="Calibri" w:hAnsi="Calibri" w:cs="Calibri"/>
                <w:sz w:val="20"/>
                <w:szCs w:val="20"/>
              </w:rPr>
              <w:t xml:space="preserve"> CO</w:t>
            </w:r>
            <w:r w:rsidR="000E6880" w:rsidRPr="001630F2">
              <w:rPr>
                <w:rFonts w:ascii="Calibri" w:hAnsi="Calibri" w:cs="Calibri"/>
                <w:sz w:val="20"/>
                <w:szCs w:val="20"/>
                <w:vertAlign w:val="subscript"/>
              </w:rPr>
              <w:t>2</w:t>
            </w:r>
            <w:r w:rsidR="000E6880">
              <w:rPr>
                <w:rFonts w:ascii="Calibri" w:hAnsi="Calibri" w:cs="Calibri"/>
                <w:sz w:val="20"/>
                <w:szCs w:val="20"/>
              </w:rPr>
              <w:t>-Eq</w:t>
            </w:r>
          </w:p>
        </w:tc>
        <w:tc>
          <w:tcPr>
            <w:tcW w:w="2526" w:type="dxa"/>
            <w:vAlign w:val="center"/>
          </w:tcPr>
          <w:p w14:paraId="32B14E21" w14:textId="5715B397" w:rsidR="0059249A" w:rsidRPr="00500C4B" w:rsidRDefault="005D3F90" w:rsidP="00320EA9">
            <w:pPr>
              <w:jc w:val="center"/>
              <w:rPr>
                <w:rFonts w:ascii="Calibri" w:hAnsi="Calibri" w:cs="Calibri"/>
                <w:sz w:val="20"/>
                <w:szCs w:val="20"/>
              </w:rPr>
            </w:pPr>
            <w:r>
              <w:rPr>
                <w:rFonts w:ascii="Calibri" w:hAnsi="Calibri" w:cs="Calibri"/>
                <w:sz w:val="20"/>
                <w:szCs w:val="20"/>
              </w:rPr>
              <w:t>5.20E-02</w:t>
            </w:r>
          </w:p>
        </w:tc>
        <w:tc>
          <w:tcPr>
            <w:tcW w:w="2150" w:type="dxa"/>
            <w:vAlign w:val="center"/>
          </w:tcPr>
          <w:p w14:paraId="570F2666" w14:textId="3890028A" w:rsidR="0059249A" w:rsidRPr="00500C4B" w:rsidRDefault="00140A93" w:rsidP="00320EA9">
            <w:pPr>
              <w:jc w:val="center"/>
              <w:rPr>
                <w:rFonts w:ascii="Calibri" w:hAnsi="Calibri" w:cs="Calibri"/>
                <w:sz w:val="20"/>
                <w:szCs w:val="20"/>
              </w:rPr>
            </w:pPr>
            <w:r>
              <w:rPr>
                <w:rFonts w:ascii="Calibri" w:hAnsi="Calibri" w:cs="Calibri"/>
                <w:sz w:val="20"/>
                <w:szCs w:val="20"/>
              </w:rPr>
              <w:t>6.73E-02</w:t>
            </w:r>
          </w:p>
        </w:tc>
      </w:tr>
      <w:tr w:rsidR="0059249A" w:rsidRPr="00500C4B" w14:paraId="557DBF84" w14:textId="77777777" w:rsidTr="00320EA9">
        <w:tc>
          <w:tcPr>
            <w:tcW w:w="2700" w:type="dxa"/>
            <w:vAlign w:val="center"/>
          </w:tcPr>
          <w:p w14:paraId="04A2DBA9" w14:textId="0833FF6A" w:rsidR="0059249A" w:rsidRPr="00500C4B" w:rsidRDefault="00A04031" w:rsidP="00320EA9">
            <w:pPr>
              <w:jc w:val="center"/>
              <w:rPr>
                <w:rFonts w:ascii="Calibri" w:hAnsi="Calibri" w:cs="Calibri"/>
                <w:sz w:val="20"/>
                <w:szCs w:val="20"/>
              </w:rPr>
            </w:pPr>
            <w:r>
              <w:rPr>
                <w:rFonts w:ascii="Calibri" w:hAnsi="Calibri" w:cs="Calibri"/>
                <w:sz w:val="20"/>
                <w:szCs w:val="20"/>
              </w:rPr>
              <w:t>Eutrophication potential</w:t>
            </w:r>
          </w:p>
        </w:tc>
        <w:tc>
          <w:tcPr>
            <w:tcW w:w="1974" w:type="dxa"/>
            <w:vAlign w:val="center"/>
          </w:tcPr>
          <w:p w14:paraId="76D1A142" w14:textId="0ACB6FCA" w:rsidR="0059249A" w:rsidRPr="00500C4B" w:rsidRDefault="006B32D5" w:rsidP="00320EA9">
            <w:pPr>
              <w:jc w:val="center"/>
              <w:rPr>
                <w:rFonts w:ascii="Calibri" w:hAnsi="Calibri" w:cs="Calibri"/>
                <w:sz w:val="20"/>
                <w:szCs w:val="20"/>
              </w:rPr>
            </w:pPr>
            <w:r>
              <w:rPr>
                <w:rFonts w:ascii="Calibri" w:hAnsi="Calibri" w:cs="Calibri"/>
                <w:sz w:val="20"/>
                <w:szCs w:val="20"/>
              </w:rPr>
              <w:t>kg</w:t>
            </w:r>
            <w:r w:rsidR="000E6880">
              <w:rPr>
                <w:rFonts w:ascii="Calibri" w:hAnsi="Calibri" w:cs="Calibri"/>
                <w:sz w:val="20"/>
                <w:szCs w:val="20"/>
              </w:rPr>
              <w:t xml:space="preserve"> PO</w:t>
            </w:r>
            <w:r w:rsidR="000E6880" w:rsidRPr="001630F2">
              <w:rPr>
                <w:rFonts w:ascii="Calibri" w:hAnsi="Calibri" w:cs="Calibri"/>
                <w:sz w:val="20"/>
                <w:szCs w:val="20"/>
                <w:vertAlign w:val="subscript"/>
              </w:rPr>
              <w:t>4</w:t>
            </w:r>
            <w:r w:rsidR="000E6880">
              <w:rPr>
                <w:rFonts w:ascii="Calibri" w:hAnsi="Calibri" w:cs="Calibri"/>
                <w:sz w:val="20"/>
                <w:szCs w:val="20"/>
              </w:rPr>
              <w:t>-Eq</w:t>
            </w:r>
          </w:p>
        </w:tc>
        <w:tc>
          <w:tcPr>
            <w:tcW w:w="2526" w:type="dxa"/>
            <w:vAlign w:val="center"/>
          </w:tcPr>
          <w:p w14:paraId="63244A06" w14:textId="646A75C4" w:rsidR="0059249A" w:rsidRPr="00500C4B" w:rsidRDefault="005D3F90" w:rsidP="00320EA9">
            <w:pPr>
              <w:jc w:val="center"/>
              <w:rPr>
                <w:rFonts w:ascii="Calibri" w:hAnsi="Calibri" w:cs="Calibri"/>
                <w:sz w:val="20"/>
                <w:szCs w:val="20"/>
              </w:rPr>
            </w:pPr>
            <w:r>
              <w:rPr>
                <w:rFonts w:ascii="Calibri" w:hAnsi="Calibri" w:cs="Calibri"/>
                <w:sz w:val="20"/>
                <w:szCs w:val="20"/>
              </w:rPr>
              <w:t>1.00E-04</w:t>
            </w:r>
          </w:p>
        </w:tc>
        <w:tc>
          <w:tcPr>
            <w:tcW w:w="2150" w:type="dxa"/>
            <w:vAlign w:val="center"/>
          </w:tcPr>
          <w:p w14:paraId="0238BB80" w14:textId="599C76F1" w:rsidR="0059249A" w:rsidRPr="00500C4B" w:rsidRDefault="00140A93" w:rsidP="00320EA9">
            <w:pPr>
              <w:jc w:val="center"/>
              <w:rPr>
                <w:rFonts w:ascii="Calibri" w:hAnsi="Calibri" w:cs="Calibri"/>
                <w:sz w:val="20"/>
                <w:szCs w:val="20"/>
              </w:rPr>
            </w:pPr>
            <w:r>
              <w:rPr>
                <w:rFonts w:ascii="Calibri" w:hAnsi="Calibri" w:cs="Calibri"/>
                <w:sz w:val="20"/>
                <w:szCs w:val="20"/>
              </w:rPr>
              <w:t>1.01</w:t>
            </w:r>
            <w:r w:rsidR="002D4448">
              <w:rPr>
                <w:rFonts w:ascii="Calibri" w:hAnsi="Calibri" w:cs="Calibri"/>
                <w:sz w:val="20"/>
                <w:szCs w:val="20"/>
              </w:rPr>
              <w:t>E-04</w:t>
            </w:r>
          </w:p>
        </w:tc>
      </w:tr>
      <w:tr w:rsidR="0059249A" w:rsidRPr="00500C4B" w14:paraId="7BAB4D7F" w14:textId="77777777" w:rsidTr="00320EA9">
        <w:trPr>
          <w:cnfStyle w:val="000000010000" w:firstRow="0" w:lastRow="0" w:firstColumn="0" w:lastColumn="0" w:oddVBand="0" w:evenVBand="0" w:oddHBand="0" w:evenHBand="1" w:firstRowFirstColumn="0" w:firstRowLastColumn="0" w:lastRowFirstColumn="0" w:lastRowLastColumn="0"/>
        </w:trPr>
        <w:tc>
          <w:tcPr>
            <w:tcW w:w="2700" w:type="dxa"/>
            <w:vAlign w:val="center"/>
          </w:tcPr>
          <w:p w14:paraId="542916A0" w14:textId="4DDA4220" w:rsidR="0059249A" w:rsidRPr="00500C4B" w:rsidRDefault="00A04031" w:rsidP="00320EA9">
            <w:pPr>
              <w:jc w:val="center"/>
              <w:rPr>
                <w:rFonts w:ascii="Calibri" w:hAnsi="Calibri" w:cs="Calibri"/>
                <w:sz w:val="20"/>
                <w:szCs w:val="20"/>
              </w:rPr>
            </w:pPr>
            <w:r>
              <w:rPr>
                <w:rFonts w:ascii="Calibri" w:hAnsi="Calibri" w:cs="Calibri"/>
                <w:sz w:val="20"/>
                <w:szCs w:val="20"/>
              </w:rPr>
              <w:t>Freshwater aquatic ecotoxicity</w:t>
            </w:r>
          </w:p>
        </w:tc>
        <w:tc>
          <w:tcPr>
            <w:tcW w:w="1974" w:type="dxa"/>
            <w:vAlign w:val="center"/>
          </w:tcPr>
          <w:p w14:paraId="4755E9A4" w14:textId="31FA3D5C" w:rsidR="0059249A" w:rsidRPr="00500C4B" w:rsidRDefault="006B32D5" w:rsidP="00320EA9">
            <w:pPr>
              <w:jc w:val="center"/>
              <w:rPr>
                <w:rFonts w:ascii="Calibri" w:hAnsi="Calibri" w:cs="Calibri"/>
                <w:sz w:val="20"/>
                <w:szCs w:val="20"/>
              </w:rPr>
            </w:pPr>
            <w:r>
              <w:rPr>
                <w:rFonts w:ascii="Calibri" w:hAnsi="Calibri" w:cs="Calibri"/>
                <w:sz w:val="20"/>
                <w:szCs w:val="20"/>
              </w:rPr>
              <w:t>kg</w:t>
            </w:r>
            <w:r w:rsidR="000E6880">
              <w:rPr>
                <w:rFonts w:ascii="Calibri" w:hAnsi="Calibri" w:cs="Calibri"/>
                <w:sz w:val="20"/>
                <w:szCs w:val="20"/>
              </w:rPr>
              <w:t xml:space="preserve"> 1,</w:t>
            </w:r>
            <w:r w:rsidR="008A3596">
              <w:rPr>
                <w:rFonts w:ascii="Calibri" w:hAnsi="Calibri" w:cs="Calibri"/>
                <w:sz w:val="20"/>
                <w:szCs w:val="20"/>
              </w:rPr>
              <w:t>4-DCB-Eq</w:t>
            </w:r>
          </w:p>
        </w:tc>
        <w:tc>
          <w:tcPr>
            <w:tcW w:w="2526" w:type="dxa"/>
            <w:vAlign w:val="center"/>
          </w:tcPr>
          <w:p w14:paraId="45F11989" w14:textId="2F6EB6DC" w:rsidR="0059249A" w:rsidRPr="00500C4B" w:rsidRDefault="005D3F90" w:rsidP="00320EA9">
            <w:pPr>
              <w:jc w:val="center"/>
              <w:rPr>
                <w:rFonts w:ascii="Calibri" w:hAnsi="Calibri" w:cs="Calibri"/>
                <w:sz w:val="20"/>
                <w:szCs w:val="20"/>
              </w:rPr>
            </w:pPr>
            <w:r>
              <w:rPr>
                <w:rFonts w:ascii="Calibri" w:hAnsi="Calibri" w:cs="Calibri"/>
                <w:sz w:val="20"/>
                <w:szCs w:val="20"/>
              </w:rPr>
              <w:t>3.10E-04</w:t>
            </w:r>
          </w:p>
        </w:tc>
        <w:tc>
          <w:tcPr>
            <w:tcW w:w="2150" w:type="dxa"/>
            <w:vAlign w:val="center"/>
          </w:tcPr>
          <w:p w14:paraId="4D6D7842" w14:textId="5FC7FC05" w:rsidR="0059249A" w:rsidRPr="00500C4B" w:rsidRDefault="008917FA" w:rsidP="00320EA9">
            <w:pPr>
              <w:jc w:val="center"/>
              <w:rPr>
                <w:rFonts w:ascii="Calibri" w:hAnsi="Calibri" w:cs="Calibri"/>
                <w:sz w:val="20"/>
                <w:szCs w:val="20"/>
              </w:rPr>
            </w:pPr>
            <w:r>
              <w:rPr>
                <w:rFonts w:ascii="Calibri" w:hAnsi="Calibri" w:cs="Calibri"/>
                <w:sz w:val="20"/>
                <w:szCs w:val="20"/>
              </w:rPr>
              <w:t>7.68E-03</w:t>
            </w:r>
          </w:p>
        </w:tc>
      </w:tr>
      <w:tr w:rsidR="0059249A" w:rsidRPr="00500C4B" w14:paraId="20499AF9" w14:textId="77777777" w:rsidTr="00320EA9">
        <w:tc>
          <w:tcPr>
            <w:tcW w:w="2700" w:type="dxa"/>
            <w:vAlign w:val="center"/>
          </w:tcPr>
          <w:p w14:paraId="75C8F2F3" w14:textId="646E930B" w:rsidR="0059249A" w:rsidRPr="00500C4B" w:rsidRDefault="00E04D73" w:rsidP="00320EA9">
            <w:pPr>
              <w:jc w:val="center"/>
              <w:rPr>
                <w:rFonts w:ascii="Calibri" w:hAnsi="Calibri" w:cs="Calibri"/>
                <w:sz w:val="20"/>
                <w:szCs w:val="20"/>
              </w:rPr>
            </w:pPr>
            <w:r>
              <w:rPr>
                <w:rFonts w:ascii="Calibri" w:hAnsi="Calibri" w:cs="Calibri"/>
                <w:sz w:val="20"/>
                <w:szCs w:val="20"/>
              </w:rPr>
              <w:t>Human toxicity</w:t>
            </w:r>
          </w:p>
        </w:tc>
        <w:tc>
          <w:tcPr>
            <w:tcW w:w="1974" w:type="dxa"/>
            <w:vAlign w:val="center"/>
          </w:tcPr>
          <w:p w14:paraId="391D512F" w14:textId="74CF6A8E" w:rsidR="0059249A" w:rsidRPr="00500C4B" w:rsidRDefault="006B32D5" w:rsidP="00320EA9">
            <w:pPr>
              <w:jc w:val="center"/>
              <w:rPr>
                <w:rFonts w:ascii="Calibri" w:hAnsi="Calibri" w:cs="Calibri"/>
                <w:sz w:val="20"/>
                <w:szCs w:val="20"/>
              </w:rPr>
            </w:pPr>
            <w:r>
              <w:rPr>
                <w:rFonts w:ascii="Calibri" w:hAnsi="Calibri" w:cs="Calibri"/>
                <w:sz w:val="20"/>
                <w:szCs w:val="20"/>
              </w:rPr>
              <w:t>kg</w:t>
            </w:r>
            <w:r w:rsidR="008A3596">
              <w:rPr>
                <w:rFonts w:ascii="Calibri" w:hAnsi="Calibri" w:cs="Calibri"/>
                <w:sz w:val="20"/>
                <w:szCs w:val="20"/>
              </w:rPr>
              <w:t xml:space="preserve"> 1,4-DCB-Eq</w:t>
            </w:r>
          </w:p>
        </w:tc>
        <w:tc>
          <w:tcPr>
            <w:tcW w:w="2526" w:type="dxa"/>
            <w:vAlign w:val="center"/>
          </w:tcPr>
          <w:p w14:paraId="34C04A1F" w14:textId="49680EFE" w:rsidR="0059249A" w:rsidRPr="00500C4B" w:rsidRDefault="005D3F90" w:rsidP="00320EA9">
            <w:pPr>
              <w:jc w:val="center"/>
              <w:rPr>
                <w:rFonts w:ascii="Calibri" w:hAnsi="Calibri" w:cs="Calibri"/>
                <w:sz w:val="20"/>
                <w:szCs w:val="20"/>
              </w:rPr>
            </w:pPr>
            <w:r>
              <w:rPr>
                <w:rFonts w:ascii="Calibri" w:hAnsi="Calibri" w:cs="Calibri"/>
                <w:sz w:val="20"/>
                <w:szCs w:val="20"/>
              </w:rPr>
              <w:t>1.80E-02</w:t>
            </w:r>
          </w:p>
        </w:tc>
        <w:tc>
          <w:tcPr>
            <w:tcW w:w="2150" w:type="dxa"/>
            <w:vAlign w:val="center"/>
          </w:tcPr>
          <w:p w14:paraId="4FE85D21" w14:textId="24B8BAD8" w:rsidR="0059249A" w:rsidRPr="00500C4B" w:rsidRDefault="008917FA" w:rsidP="00320EA9">
            <w:pPr>
              <w:jc w:val="center"/>
              <w:rPr>
                <w:rFonts w:ascii="Calibri" w:hAnsi="Calibri" w:cs="Calibri"/>
                <w:sz w:val="20"/>
                <w:szCs w:val="20"/>
              </w:rPr>
            </w:pPr>
            <w:r>
              <w:rPr>
                <w:rFonts w:ascii="Calibri" w:hAnsi="Calibri" w:cs="Calibri"/>
                <w:sz w:val="20"/>
                <w:szCs w:val="20"/>
              </w:rPr>
              <w:t>2.76E-02</w:t>
            </w:r>
          </w:p>
        </w:tc>
      </w:tr>
      <w:tr w:rsidR="0059249A" w:rsidRPr="00500C4B" w14:paraId="779FF299" w14:textId="77777777" w:rsidTr="00320EA9">
        <w:trPr>
          <w:cnfStyle w:val="000000010000" w:firstRow="0" w:lastRow="0" w:firstColumn="0" w:lastColumn="0" w:oddVBand="0" w:evenVBand="0" w:oddHBand="0" w:evenHBand="1" w:firstRowFirstColumn="0" w:firstRowLastColumn="0" w:lastRowFirstColumn="0" w:lastRowLastColumn="0"/>
        </w:trPr>
        <w:tc>
          <w:tcPr>
            <w:tcW w:w="2700" w:type="dxa"/>
            <w:vAlign w:val="center"/>
          </w:tcPr>
          <w:p w14:paraId="42CB1015" w14:textId="48628F4A" w:rsidR="0059249A" w:rsidRPr="00500C4B" w:rsidRDefault="00E04D73" w:rsidP="00320EA9">
            <w:pPr>
              <w:jc w:val="center"/>
              <w:rPr>
                <w:rFonts w:ascii="Calibri" w:hAnsi="Calibri" w:cs="Calibri"/>
                <w:sz w:val="20"/>
                <w:szCs w:val="20"/>
              </w:rPr>
            </w:pPr>
            <w:r>
              <w:rPr>
                <w:rFonts w:ascii="Calibri" w:hAnsi="Calibri" w:cs="Calibri"/>
                <w:sz w:val="20"/>
                <w:szCs w:val="20"/>
              </w:rPr>
              <w:t>Marine aquatic ecotoxicity</w:t>
            </w:r>
          </w:p>
        </w:tc>
        <w:tc>
          <w:tcPr>
            <w:tcW w:w="1974" w:type="dxa"/>
            <w:vAlign w:val="center"/>
          </w:tcPr>
          <w:p w14:paraId="0334D65E" w14:textId="72E26B04" w:rsidR="0059249A" w:rsidRPr="00500C4B" w:rsidRDefault="006B32D5" w:rsidP="00320EA9">
            <w:pPr>
              <w:jc w:val="center"/>
              <w:rPr>
                <w:rFonts w:ascii="Calibri" w:hAnsi="Calibri" w:cs="Calibri"/>
                <w:sz w:val="20"/>
                <w:szCs w:val="20"/>
              </w:rPr>
            </w:pPr>
            <w:r>
              <w:rPr>
                <w:rFonts w:ascii="Calibri" w:hAnsi="Calibri" w:cs="Calibri"/>
                <w:sz w:val="20"/>
                <w:szCs w:val="20"/>
              </w:rPr>
              <w:t>kg</w:t>
            </w:r>
            <w:r w:rsidR="008A3596">
              <w:rPr>
                <w:rFonts w:ascii="Calibri" w:hAnsi="Calibri" w:cs="Calibri"/>
                <w:sz w:val="20"/>
                <w:szCs w:val="20"/>
              </w:rPr>
              <w:t xml:space="preserve"> 1,4-DCB-Eq</w:t>
            </w:r>
          </w:p>
        </w:tc>
        <w:tc>
          <w:tcPr>
            <w:tcW w:w="2526" w:type="dxa"/>
            <w:vAlign w:val="center"/>
          </w:tcPr>
          <w:p w14:paraId="1D10745F" w14:textId="13BCD08A" w:rsidR="0059249A" w:rsidRPr="00500C4B" w:rsidRDefault="005D3F90" w:rsidP="00320EA9">
            <w:pPr>
              <w:jc w:val="center"/>
              <w:rPr>
                <w:rFonts w:ascii="Calibri" w:hAnsi="Calibri" w:cs="Calibri"/>
                <w:sz w:val="20"/>
                <w:szCs w:val="20"/>
              </w:rPr>
            </w:pPr>
            <w:r>
              <w:rPr>
                <w:rFonts w:ascii="Calibri" w:hAnsi="Calibri" w:cs="Calibri"/>
                <w:sz w:val="20"/>
                <w:szCs w:val="20"/>
              </w:rPr>
              <w:t>1.96</w:t>
            </w:r>
            <w:r w:rsidR="001570ED">
              <w:rPr>
                <w:rFonts w:ascii="Calibri" w:hAnsi="Calibri" w:cs="Calibri"/>
                <w:sz w:val="20"/>
                <w:szCs w:val="20"/>
              </w:rPr>
              <w:t>E-02</w:t>
            </w:r>
          </w:p>
        </w:tc>
        <w:tc>
          <w:tcPr>
            <w:tcW w:w="2150" w:type="dxa"/>
            <w:vAlign w:val="center"/>
          </w:tcPr>
          <w:p w14:paraId="1B4D180A" w14:textId="20D5E48B" w:rsidR="0059249A" w:rsidRPr="00500C4B" w:rsidRDefault="008917FA" w:rsidP="00320EA9">
            <w:pPr>
              <w:jc w:val="center"/>
              <w:rPr>
                <w:rFonts w:ascii="Calibri" w:hAnsi="Calibri" w:cs="Calibri"/>
                <w:sz w:val="20"/>
                <w:szCs w:val="20"/>
              </w:rPr>
            </w:pPr>
            <w:r>
              <w:rPr>
                <w:rFonts w:ascii="Calibri" w:hAnsi="Calibri" w:cs="Calibri"/>
                <w:sz w:val="20"/>
                <w:szCs w:val="20"/>
              </w:rPr>
              <w:t>2.30E+01</w:t>
            </w:r>
          </w:p>
        </w:tc>
      </w:tr>
      <w:tr w:rsidR="0059249A" w:rsidRPr="00500C4B" w14:paraId="44A3F10D" w14:textId="77777777" w:rsidTr="00320EA9">
        <w:tc>
          <w:tcPr>
            <w:tcW w:w="2700" w:type="dxa"/>
            <w:vAlign w:val="center"/>
          </w:tcPr>
          <w:p w14:paraId="4E2AD5E9" w14:textId="11005594" w:rsidR="0059249A" w:rsidRPr="00500C4B" w:rsidRDefault="00E04D73" w:rsidP="00320EA9">
            <w:pPr>
              <w:jc w:val="center"/>
              <w:rPr>
                <w:rFonts w:ascii="Calibri" w:hAnsi="Calibri" w:cs="Calibri"/>
                <w:sz w:val="20"/>
                <w:szCs w:val="20"/>
              </w:rPr>
            </w:pPr>
            <w:r>
              <w:rPr>
                <w:rFonts w:ascii="Calibri" w:hAnsi="Calibri" w:cs="Calibri"/>
                <w:sz w:val="20"/>
                <w:szCs w:val="20"/>
              </w:rPr>
              <w:t>Photochemical oxidation</w:t>
            </w:r>
          </w:p>
        </w:tc>
        <w:tc>
          <w:tcPr>
            <w:tcW w:w="1974" w:type="dxa"/>
            <w:vAlign w:val="center"/>
          </w:tcPr>
          <w:p w14:paraId="5C5D2F13" w14:textId="3BCAA0CF" w:rsidR="0059249A" w:rsidRPr="00500C4B" w:rsidRDefault="006B32D5" w:rsidP="00320EA9">
            <w:pPr>
              <w:jc w:val="center"/>
              <w:rPr>
                <w:rFonts w:ascii="Calibri" w:hAnsi="Calibri" w:cs="Calibri"/>
                <w:sz w:val="20"/>
                <w:szCs w:val="20"/>
              </w:rPr>
            </w:pPr>
            <w:r>
              <w:rPr>
                <w:rFonts w:ascii="Calibri" w:hAnsi="Calibri" w:cs="Calibri"/>
                <w:sz w:val="20"/>
                <w:szCs w:val="20"/>
              </w:rPr>
              <w:t>kg</w:t>
            </w:r>
            <w:r w:rsidR="007C586E">
              <w:rPr>
                <w:rFonts w:ascii="Calibri" w:hAnsi="Calibri" w:cs="Calibri"/>
                <w:sz w:val="20"/>
                <w:szCs w:val="20"/>
              </w:rPr>
              <w:t xml:space="preserve"> formed ozone</w:t>
            </w:r>
          </w:p>
        </w:tc>
        <w:tc>
          <w:tcPr>
            <w:tcW w:w="2526" w:type="dxa"/>
            <w:vAlign w:val="center"/>
          </w:tcPr>
          <w:p w14:paraId="7DE3C729" w14:textId="4DFD4672" w:rsidR="0059249A" w:rsidRPr="00500C4B" w:rsidRDefault="001570ED" w:rsidP="00320EA9">
            <w:pPr>
              <w:jc w:val="center"/>
              <w:rPr>
                <w:rFonts w:ascii="Calibri" w:hAnsi="Calibri" w:cs="Calibri"/>
                <w:sz w:val="20"/>
                <w:szCs w:val="20"/>
              </w:rPr>
            </w:pPr>
            <w:r>
              <w:rPr>
                <w:rFonts w:ascii="Calibri" w:hAnsi="Calibri" w:cs="Calibri"/>
                <w:sz w:val="20"/>
                <w:szCs w:val="20"/>
              </w:rPr>
              <w:t>7.80E-06</w:t>
            </w:r>
          </w:p>
        </w:tc>
        <w:tc>
          <w:tcPr>
            <w:tcW w:w="2150" w:type="dxa"/>
            <w:vAlign w:val="center"/>
          </w:tcPr>
          <w:p w14:paraId="265C793D" w14:textId="66BAED33" w:rsidR="0059249A" w:rsidRPr="00500C4B" w:rsidRDefault="008917FA" w:rsidP="00320EA9">
            <w:pPr>
              <w:jc w:val="center"/>
              <w:rPr>
                <w:rFonts w:ascii="Calibri" w:hAnsi="Calibri" w:cs="Calibri"/>
                <w:sz w:val="20"/>
                <w:szCs w:val="20"/>
              </w:rPr>
            </w:pPr>
            <w:r>
              <w:rPr>
                <w:rFonts w:ascii="Calibri" w:hAnsi="Calibri" w:cs="Calibri"/>
                <w:sz w:val="20"/>
                <w:szCs w:val="20"/>
              </w:rPr>
              <w:t>2.55E-05</w:t>
            </w:r>
          </w:p>
        </w:tc>
      </w:tr>
      <w:tr w:rsidR="000223B7" w:rsidRPr="00500C4B" w14:paraId="77F1E291" w14:textId="77777777" w:rsidTr="00320EA9">
        <w:trPr>
          <w:cnfStyle w:val="000000010000" w:firstRow="0" w:lastRow="0" w:firstColumn="0" w:lastColumn="0" w:oddVBand="0" w:evenVBand="0" w:oddHBand="0" w:evenHBand="1" w:firstRowFirstColumn="0" w:firstRowLastColumn="0" w:lastRowFirstColumn="0" w:lastRowLastColumn="0"/>
        </w:trPr>
        <w:tc>
          <w:tcPr>
            <w:tcW w:w="2700" w:type="dxa"/>
            <w:vAlign w:val="center"/>
          </w:tcPr>
          <w:p w14:paraId="01333115" w14:textId="41BDB57A" w:rsidR="000223B7" w:rsidRDefault="000223B7" w:rsidP="00320EA9">
            <w:pPr>
              <w:jc w:val="center"/>
              <w:rPr>
                <w:rFonts w:ascii="Calibri" w:hAnsi="Calibri" w:cs="Calibri"/>
                <w:sz w:val="20"/>
                <w:szCs w:val="20"/>
              </w:rPr>
            </w:pPr>
            <w:r>
              <w:rPr>
                <w:rFonts w:ascii="Calibri" w:hAnsi="Calibri" w:cs="Calibri"/>
                <w:sz w:val="20"/>
                <w:szCs w:val="20"/>
              </w:rPr>
              <w:t>Depletion of abiotic resources</w:t>
            </w:r>
          </w:p>
        </w:tc>
        <w:tc>
          <w:tcPr>
            <w:tcW w:w="1974" w:type="dxa"/>
            <w:vAlign w:val="center"/>
          </w:tcPr>
          <w:p w14:paraId="23EEB385" w14:textId="57048D3E" w:rsidR="000223B7" w:rsidRPr="00500C4B" w:rsidRDefault="007C586E" w:rsidP="00320EA9">
            <w:pPr>
              <w:jc w:val="center"/>
              <w:rPr>
                <w:rFonts w:ascii="Calibri" w:hAnsi="Calibri" w:cs="Calibri"/>
                <w:sz w:val="20"/>
                <w:szCs w:val="20"/>
              </w:rPr>
            </w:pPr>
            <w:r>
              <w:rPr>
                <w:rFonts w:ascii="Calibri" w:hAnsi="Calibri" w:cs="Calibri"/>
                <w:sz w:val="20"/>
                <w:szCs w:val="20"/>
              </w:rPr>
              <w:t>K</w:t>
            </w:r>
            <w:r w:rsidR="006B32D5">
              <w:rPr>
                <w:rFonts w:ascii="Calibri" w:hAnsi="Calibri" w:cs="Calibri"/>
                <w:sz w:val="20"/>
                <w:szCs w:val="20"/>
              </w:rPr>
              <w:t>g</w:t>
            </w:r>
            <w:r>
              <w:rPr>
                <w:rFonts w:ascii="Calibri" w:hAnsi="Calibri" w:cs="Calibri"/>
                <w:sz w:val="20"/>
                <w:szCs w:val="20"/>
              </w:rPr>
              <w:t xml:space="preserve"> antimony-Eq</w:t>
            </w:r>
          </w:p>
        </w:tc>
        <w:tc>
          <w:tcPr>
            <w:tcW w:w="2526" w:type="dxa"/>
            <w:vAlign w:val="center"/>
          </w:tcPr>
          <w:p w14:paraId="1769B456" w14:textId="485EB0DB" w:rsidR="000223B7" w:rsidRPr="00500C4B" w:rsidRDefault="001570ED" w:rsidP="00320EA9">
            <w:pPr>
              <w:jc w:val="center"/>
              <w:rPr>
                <w:rFonts w:ascii="Calibri" w:hAnsi="Calibri" w:cs="Calibri"/>
                <w:sz w:val="20"/>
                <w:szCs w:val="20"/>
              </w:rPr>
            </w:pPr>
            <w:r>
              <w:rPr>
                <w:rFonts w:ascii="Calibri" w:hAnsi="Calibri" w:cs="Calibri"/>
                <w:sz w:val="20"/>
                <w:szCs w:val="20"/>
              </w:rPr>
              <w:t>3.60E-04</w:t>
            </w:r>
          </w:p>
        </w:tc>
        <w:tc>
          <w:tcPr>
            <w:tcW w:w="2150" w:type="dxa"/>
            <w:vAlign w:val="center"/>
          </w:tcPr>
          <w:p w14:paraId="4D37FD01" w14:textId="14106CE5" w:rsidR="000223B7" w:rsidRPr="00500C4B" w:rsidRDefault="008917FA" w:rsidP="00320EA9">
            <w:pPr>
              <w:jc w:val="center"/>
              <w:rPr>
                <w:rFonts w:ascii="Calibri" w:hAnsi="Calibri" w:cs="Calibri"/>
                <w:sz w:val="20"/>
                <w:szCs w:val="20"/>
              </w:rPr>
            </w:pPr>
            <w:r>
              <w:rPr>
                <w:rFonts w:ascii="Calibri" w:hAnsi="Calibri" w:cs="Calibri"/>
                <w:sz w:val="20"/>
                <w:szCs w:val="20"/>
              </w:rPr>
              <w:t>1.17E-07</w:t>
            </w:r>
          </w:p>
        </w:tc>
      </w:tr>
      <w:tr w:rsidR="000223B7" w:rsidRPr="00500C4B" w14:paraId="4A9617BB" w14:textId="77777777" w:rsidTr="00320EA9">
        <w:tc>
          <w:tcPr>
            <w:tcW w:w="2700" w:type="dxa"/>
            <w:vAlign w:val="center"/>
          </w:tcPr>
          <w:p w14:paraId="76896743" w14:textId="795F411D" w:rsidR="000223B7" w:rsidRDefault="005006FB" w:rsidP="00320EA9">
            <w:pPr>
              <w:jc w:val="center"/>
              <w:rPr>
                <w:rFonts w:ascii="Calibri" w:hAnsi="Calibri" w:cs="Calibri"/>
                <w:sz w:val="20"/>
                <w:szCs w:val="20"/>
              </w:rPr>
            </w:pPr>
            <w:r>
              <w:rPr>
                <w:rFonts w:ascii="Calibri" w:hAnsi="Calibri" w:cs="Calibri"/>
                <w:sz w:val="20"/>
                <w:szCs w:val="20"/>
              </w:rPr>
              <w:t>Stratospheric ozone depletion</w:t>
            </w:r>
          </w:p>
        </w:tc>
        <w:tc>
          <w:tcPr>
            <w:tcW w:w="1974" w:type="dxa"/>
            <w:vAlign w:val="center"/>
          </w:tcPr>
          <w:p w14:paraId="104B6343" w14:textId="0416AB24" w:rsidR="000223B7" w:rsidRPr="00500C4B" w:rsidRDefault="006B32D5" w:rsidP="00320EA9">
            <w:pPr>
              <w:jc w:val="center"/>
              <w:rPr>
                <w:rFonts w:ascii="Calibri" w:hAnsi="Calibri" w:cs="Calibri"/>
                <w:sz w:val="20"/>
                <w:szCs w:val="20"/>
              </w:rPr>
            </w:pPr>
            <w:r>
              <w:rPr>
                <w:rFonts w:ascii="Calibri" w:hAnsi="Calibri" w:cs="Calibri"/>
                <w:sz w:val="20"/>
                <w:szCs w:val="20"/>
              </w:rPr>
              <w:t>kg</w:t>
            </w:r>
            <w:r w:rsidR="007C586E">
              <w:rPr>
                <w:rFonts w:ascii="Calibri" w:hAnsi="Calibri" w:cs="Calibri"/>
                <w:sz w:val="20"/>
                <w:szCs w:val="20"/>
              </w:rPr>
              <w:t xml:space="preserve"> CFL-11-Eq</w:t>
            </w:r>
          </w:p>
        </w:tc>
        <w:tc>
          <w:tcPr>
            <w:tcW w:w="2526" w:type="dxa"/>
            <w:vAlign w:val="center"/>
          </w:tcPr>
          <w:p w14:paraId="372BC6CD" w14:textId="2FCD2577" w:rsidR="000223B7" w:rsidRPr="00500C4B" w:rsidRDefault="001570ED" w:rsidP="00320EA9">
            <w:pPr>
              <w:jc w:val="center"/>
              <w:rPr>
                <w:rFonts w:ascii="Calibri" w:hAnsi="Calibri" w:cs="Calibri"/>
                <w:sz w:val="20"/>
                <w:szCs w:val="20"/>
              </w:rPr>
            </w:pPr>
            <w:r>
              <w:rPr>
                <w:rFonts w:ascii="Calibri" w:hAnsi="Calibri" w:cs="Calibri"/>
                <w:sz w:val="20"/>
                <w:szCs w:val="20"/>
              </w:rPr>
              <w:t>6.40E-09</w:t>
            </w:r>
          </w:p>
        </w:tc>
        <w:tc>
          <w:tcPr>
            <w:tcW w:w="2150" w:type="dxa"/>
            <w:vAlign w:val="center"/>
          </w:tcPr>
          <w:p w14:paraId="25766890" w14:textId="0451F2BA" w:rsidR="000223B7" w:rsidRPr="00500C4B" w:rsidRDefault="008917FA" w:rsidP="00320EA9">
            <w:pPr>
              <w:jc w:val="center"/>
              <w:rPr>
                <w:rFonts w:ascii="Calibri" w:hAnsi="Calibri" w:cs="Calibri"/>
                <w:sz w:val="20"/>
                <w:szCs w:val="20"/>
              </w:rPr>
            </w:pPr>
            <w:r>
              <w:rPr>
                <w:rFonts w:ascii="Calibri" w:hAnsi="Calibri" w:cs="Calibri"/>
                <w:sz w:val="20"/>
                <w:szCs w:val="20"/>
              </w:rPr>
              <w:t>1.18E-08</w:t>
            </w:r>
          </w:p>
        </w:tc>
      </w:tr>
      <w:tr w:rsidR="000223B7" w:rsidRPr="00500C4B" w14:paraId="28D85494" w14:textId="77777777" w:rsidTr="00320EA9">
        <w:trPr>
          <w:cnfStyle w:val="000000010000" w:firstRow="0" w:lastRow="0" w:firstColumn="0" w:lastColumn="0" w:oddVBand="0" w:evenVBand="0" w:oddHBand="0" w:evenHBand="1" w:firstRowFirstColumn="0" w:firstRowLastColumn="0" w:lastRowFirstColumn="0" w:lastRowLastColumn="0"/>
        </w:trPr>
        <w:tc>
          <w:tcPr>
            <w:tcW w:w="2700" w:type="dxa"/>
            <w:vAlign w:val="center"/>
          </w:tcPr>
          <w:p w14:paraId="16666B82" w14:textId="2487F54E" w:rsidR="000223B7" w:rsidRDefault="005006FB" w:rsidP="00320EA9">
            <w:pPr>
              <w:jc w:val="center"/>
              <w:rPr>
                <w:rFonts w:ascii="Calibri" w:hAnsi="Calibri" w:cs="Calibri"/>
                <w:sz w:val="20"/>
                <w:szCs w:val="20"/>
              </w:rPr>
            </w:pPr>
            <w:r>
              <w:rPr>
                <w:rFonts w:ascii="Calibri" w:hAnsi="Calibri" w:cs="Calibri"/>
                <w:sz w:val="20"/>
                <w:szCs w:val="20"/>
              </w:rPr>
              <w:t>Terrestrial ecotoxicity</w:t>
            </w:r>
          </w:p>
        </w:tc>
        <w:tc>
          <w:tcPr>
            <w:tcW w:w="1974" w:type="dxa"/>
            <w:vAlign w:val="center"/>
          </w:tcPr>
          <w:p w14:paraId="7237212E" w14:textId="62316D57" w:rsidR="000223B7" w:rsidRPr="00500C4B" w:rsidRDefault="006B32D5" w:rsidP="00320EA9">
            <w:pPr>
              <w:jc w:val="center"/>
              <w:rPr>
                <w:rFonts w:ascii="Calibri" w:hAnsi="Calibri" w:cs="Calibri"/>
                <w:sz w:val="20"/>
                <w:szCs w:val="20"/>
              </w:rPr>
            </w:pPr>
            <w:r>
              <w:rPr>
                <w:rFonts w:ascii="Calibri" w:hAnsi="Calibri" w:cs="Calibri"/>
                <w:sz w:val="20"/>
                <w:szCs w:val="20"/>
              </w:rPr>
              <w:t>kg</w:t>
            </w:r>
            <w:r w:rsidR="007C586E">
              <w:rPr>
                <w:rFonts w:ascii="Calibri" w:hAnsi="Calibri" w:cs="Calibri"/>
                <w:sz w:val="20"/>
                <w:szCs w:val="20"/>
              </w:rPr>
              <w:t xml:space="preserve"> 1,4-DCB-Eq</w:t>
            </w:r>
          </w:p>
        </w:tc>
        <w:tc>
          <w:tcPr>
            <w:tcW w:w="2526" w:type="dxa"/>
            <w:vAlign w:val="center"/>
          </w:tcPr>
          <w:p w14:paraId="4800E270" w14:textId="36F32B04" w:rsidR="000223B7" w:rsidRPr="00500C4B" w:rsidRDefault="001570ED" w:rsidP="00320EA9">
            <w:pPr>
              <w:jc w:val="center"/>
              <w:rPr>
                <w:rFonts w:ascii="Calibri" w:hAnsi="Calibri" w:cs="Calibri"/>
                <w:sz w:val="20"/>
                <w:szCs w:val="20"/>
              </w:rPr>
            </w:pPr>
            <w:r>
              <w:rPr>
                <w:rFonts w:ascii="Calibri" w:hAnsi="Calibri" w:cs="Calibri"/>
                <w:sz w:val="20"/>
                <w:szCs w:val="20"/>
              </w:rPr>
              <w:t>9.30E-06</w:t>
            </w:r>
          </w:p>
        </w:tc>
        <w:tc>
          <w:tcPr>
            <w:tcW w:w="2150" w:type="dxa"/>
            <w:vAlign w:val="center"/>
          </w:tcPr>
          <w:p w14:paraId="64FBBEEC" w14:textId="79E4A48B" w:rsidR="000223B7" w:rsidRPr="00500C4B" w:rsidRDefault="008917FA" w:rsidP="00320EA9">
            <w:pPr>
              <w:jc w:val="center"/>
              <w:rPr>
                <w:rFonts w:ascii="Calibri" w:hAnsi="Calibri" w:cs="Calibri"/>
                <w:sz w:val="20"/>
                <w:szCs w:val="20"/>
              </w:rPr>
            </w:pPr>
            <w:r>
              <w:rPr>
                <w:rFonts w:ascii="Calibri" w:hAnsi="Calibri" w:cs="Calibri"/>
                <w:sz w:val="20"/>
                <w:szCs w:val="20"/>
              </w:rPr>
              <w:t>1.05E</w:t>
            </w:r>
            <w:r w:rsidR="005A68B9">
              <w:rPr>
                <w:rFonts w:ascii="Calibri" w:hAnsi="Calibri" w:cs="Calibri"/>
                <w:sz w:val="20"/>
                <w:szCs w:val="20"/>
              </w:rPr>
              <w:t>-04</w:t>
            </w:r>
          </w:p>
        </w:tc>
      </w:tr>
      <w:tr w:rsidR="005006FB" w:rsidRPr="00500C4B" w14:paraId="1C2D1171" w14:textId="77777777" w:rsidTr="00320EA9">
        <w:tc>
          <w:tcPr>
            <w:tcW w:w="2700" w:type="dxa"/>
            <w:vAlign w:val="center"/>
          </w:tcPr>
          <w:p w14:paraId="4044761B" w14:textId="4058A25F" w:rsidR="005006FB" w:rsidRDefault="00BD45EB" w:rsidP="00320EA9">
            <w:pPr>
              <w:jc w:val="center"/>
              <w:rPr>
                <w:rFonts w:ascii="Calibri" w:hAnsi="Calibri" w:cs="Calibri"/>
                <w:sz w:val="20"/>
                <w:szCs w:val="20"/>
              </w:rPr>
            </w:pPr>
            <w:r>
              <w:rPr>
                <w:rFonts w:ascii="Calibri" w:hAnsi="Calibri" w:cs="Calibri"/>
                <w:sz w:val="20"/>
                <w:szCs w:val="20"/>
              </w:rPr>
              <w:t>Land filling bulk waste</w:t>
            </w:r>
          </w:p>
        </w:tc>
        <w:tc>
          <w:tcPr>
            <w:tcW w:w="1974" w:type="dxa"/>
            <w:vAlign w:val="center"/>
          </w:tcPr>
          <w:p w14:paraId="1D73C4ED" w14:textId="4726E755" w:rsidR="005006FB" w:rsidRPr="00500C4B" w:rsidRDefault="001630F2" w:rsidP="00320EA9">
            <w:pPr>
              <w:jc w:val="center"/>
              <w:rPr>
                <w:rFonts w:ascii="Calibri" w:hAnsi="Calibri" w:cs="Calibri"/>
                <w:sz w:val="20"/>
                <w:szCs w:val="20"/>
              </w:rPr>
            </w:pPr>
            <w:r>
              <w:rPr>
                <w:rFonts w:ascii="Calibri" w:hAnsi="Calibri" w:cs="Calibri"/>
                <w:sz w:val="20"/>
                <w:szCs w:val="20"/>
              </w:rPr>
              <w:t>k</w:t>
            </w:r>
            <w:r w:rsidR="006B32D5">
              <w:rPr>
                <w:rFonts w:ascii="Calibri" w:hAnsi="Calibri" w:cs="Calibri"/>
                <w:sz w:val="20"/>
                <w:szCs w:val="20"/>
              </w:rPr>
              <w:t>g</w:t>
            </w:r>
            <w:r w:rsidR="007C586E">
              <w:rPr>
                <w:rFonts w:ascii="Calibri" w:hAnsi="Calibri" w:cs="Calibri"/>
                <w:sz w:val="20"/>
                <w:szCs w:val="20"/>
              </w:rPr>
              <w:t xml:space="preserve"> waste</w:t>
            </w:r>
          </w:p>
        </w:tc>
        <w:tc>
          <w:tcPr>
            <w:tcW w:w="2526" w:type="dxa"/>
            <w:vAlign w:val="center"/>
          </w:tcPr>
          <w:p w14:paraId="7D5666C6" w14:textId="1C561BCC" w:rsidR="005006FB" w:rsidRPr="00500C4B" w:rsidRDefault="001570ED" w:rsidP="00320EA9">
            <w:pPr>
              <w:jc w:val="center"/>
              <w:rPr>
                <w:rFonts w:ascii="Calibri" w:hAnsi="Calibri" w:cs="Calibri"/>
                <w:sz w:val="20"/>
                <w:szCs w:val="20"/>
              </w:rPr>
            </w:pPr>
            <w:r>
              <w:rPr>
                <w:rFonts w:ascii="Calibri" w:hAnsi="Calibri" w:cs="Calibri"/>
                <w:sz w:val="20"/>
                <w:szCs w:val="20"/>
              </w:rPr>
              <w:t>3.50E-03</w:t>
            </w:r>
          </w:p>
        </w:tc>
        <w:tc>
          <w:tcPr>
            <w:tcW w:w="2150" w:type="dxa"/>
            <w:vAlign w:val="center"/>
          </w:tcPr>
          <w:p w14:paraId="76B1C059" w14:textId="451C34B1" w:rsidR="005006FB" w:rsidRPr="00500C4B" w:rsidRDefault="005A68B9" w:rsidP="00320EA9">
            <w:pPr>
              <w:jc w:val="center"/>
              <w:rPr>
                <w:rFonts w:ascii="Calibri" w:hAnsi="Calibri" w:cs="Calibri"/>
                <w:sz w:val="20"/>
                <w:szCs w:val="20"/>
              </w:rPr>
            </w:pPr>
            <w:r>
              <w:rPr>
                <w:rFonts w:ascii="Calibri" w:hAnsi="Calibri" w:cs="Calibri"/>
                <w:sz w:val="20"/>
                <w:szCs w:val="20"/>
              </w:rPr>
              <w:t>2.87E-02</w:t>
            </w:r>
          </w:p>
        </w:tc>
      </w:tr>
      <w:tr w:rsidR="00BD45EB" w:rsidRPr="00500C4B" w14:paraId="50EA0870" w14:textId="77777777" w:rsidTr="00320EA9">
        <w:trPr>
          <w:cnfStyle w:val="000000010000" w:firstRow="0" w:lastRow="0" w:firstColumn="0" w:lastColumn="0" w:oddVBand="0" w:evenVBand="0" w:oddHBand="0" w:evenHBand="1" w:firstRowFirstColumn="0" w:firstRowLastColumn="0" w:lastRowFirstColumn="0" w:lastRowLastColumn="0"/>
        </w:trPr>
        <w:tc>
          <w:tcPr>
            <w:tcW w:w="2700" w:type="dxa"/>
            <w:vAlign w:val="center"/>
          </w:tcPr>
          <w:p w14:paraId="41083693" w14:textId="7C8B3D5C" w:rsidR="00BD45EB" w:rsidRDefault="00BD45EB" w:rsidP="00320EA9">
            <w:pPr>
              <w:jc w:val="center"/>
              <w:rPr>
                <w:rFonts w:ascii="Calibri" w:hAnsi="Calibri" w:cs="Calibri"/>
                <w:sz w:val="20"/>
                <w:szCs w:val="20"/>
              </w:rPr>
            </w:pPr>
            <w:r>
              <w:rPr>
                <w:rFonts w:ascii="Calibri" w:hAnsi="Calibri" w:cs="Calibri"/>
                <w:sz w:val="20"/>
                <w:szCs w:val="20"/>
              </w:rPr>
              <w:t>Land filling hazardous waste</w:t>
            </w:r>
          </w:p>
        </w:tc>
        <w:tc>
          <w:tcPr>
            <w:tcW w:w="1974" w:type="dxa"/>
            <w:vAlign w:val="center"/>
          </w:tcPr>
          <w:p w14:paraId="73226DC8" w14:textId="11A82FB2" w:rsidR="00BD45EB" w:rsidRPr="00500C4B" w:rsidRDefault="001630F2" w:rsidP="00320EA9">
            <w:pPr>
              <w:jc w:val="center"/>
              <w:rPr>
                <w:rFonts w:ascii="Calibri" w:hAnsi="Calibri" w:cs="Calibri"/>
                <w:sz w:val="20"/>
                <w:szCs w:val="20"/>
              </w:rPr>
            </w:pPr>
            <w:r>
              <w:rPr>
                <w:rFonts w:ascii="Calibri" w:hAnsi="Calibri" w:cs="Calibri"/>
                <w:sz w:val="20"/>
                <w:szCs w:val="20"/>
              </w:rPr>
              <w:t>kg waste</w:t>
            </w:r>
          </w:p>
        </w:tc>
        <w:tc>
          <w:tcPr>
            <w:tcW w:w="2526" w:type="dxa"/>
            <w:vAlign w:val="center"/>
          </w:tcPr>
          <w:p w14:paraId="0ADA7D55" w14:textId="6DC4ECB2" w:rsidR="00BD45EB" w:rsidRPr="00500C4B" w:rsidRDefault="00140A93" w:rsidP="00320EA9">
            <w:pPr>
              <w:jc w:val="center"/>
              <w:rPr>
                <w:rFonts w:ascii="Calibri" w:hAnsi="Calibri" w:cs="Calibri"/>
                <w:sz w:val="20"/>
                <w:szCs w:val="20"/>
              </w:rPr>
            </w:pPr>
            <w:r>
              <w:rPr>
                <w:rFonts w:ascii="Calibri" w:hAnsi="Calibri" w:cs="Calibri"/>
                <w:sz w:val="20"/>
                <w:szCs w:val="20"/>
              </w:rPr>
              <w:t>7.00E-07</w:t>
            </w:r>
          </w:p>
        </w:tc>
        <w:tc>
          <w:tcPr>
            <w:tcW w:w="2150" w:type="dxa"/>
            <w:vAlign w:val="center"/>
          </w:tcPr>
          <w:p w14:paraId="7B06DA1A" w14:textId="15BBBBB7" w:rsidR="00BD45EB" w:rsidRPr="00500C4B" w:rsidRDefault="005A68B9" w:rsidP="00320EA9">
            <w:pPr>
              <w:jc w:val="center"/>
              <w:rPr>
                <w:rFonts w:ascii="Calibri" w:hAnsi="Calibri" w:cs="Calibri"/>
                <w:sz w:val="20"/>
                <w:szCs w:val="20"/>
              </w:rPr>
            </w:pPr>
            <w:r>
              <w:rPr>
                <w:rFonts w:ascii="Calibri" w:hAnsi="Calibri" w:cs="Calibri"/>
                <w:sz w:val="20"/>
                <w:szCs w:val="20"/>
              </w:rPr>
              <w:t>5.74E-07</w:t>
            </w:r>
          </w:p>
        </w:tc>
      </w:tr>
      <w:tr w:rsidR="00BD45EB" w:rsidRPr="00500C4B" w14:paraId="11F53EC2" w14:textId="77777777" w:rsidTr="00320EA9">
        <w:tc>
          <w:tcPr>
            <w:tcW w:w="2700" w:type="dxa"/>
            <w:vAlign w:val="center"/>
          </w:tcPr>
          <w:p w14:paraId="2EB2EAD8" w14:textId="662AE552" w:rsidR="00BD45EB" w:rsidRDefault="00BD45EB" w:rsidP="00320EA9">
            <w:pPr>
              <w:jc w:val="center"/>
              <w:rPr>
                <w:rFonts w:ascii="Calibri" w:hAnsi="Calibri" w:cs="Calibri"/>
                <w:sz w:val="20"/>
                <w:szCs w:val="20"/>
              </w:rPr>
            </w:pPr>
            <w:r>
              <w:rPr>
                <w:rFonts w:ascii="Calibri" w:hAnsi="Calibri" w:cs="Calibri"/>
                <w:sz w:val="20"/>
                <w:szCs w:val="20"/>
              </w:rPr>
              <w:lastRenderedPageBreak/>
              <w:t>Land filling radioactive waste</w:t>
            </w:r>
          </w:p>
        </w:tc>
        <w:tc>
          <w:tcPr>
            <w:tcW w:w="1974" w:type="dxa"/>
            <w:vAlign w:val="center"/>
          </w:tcPr>
          <w:p w14:paraId="20E81F90" w14:textId="0B67929F" w:rsidR="00BD45EB" w:rsidRPr="00500C4B" w:rsidRDefault="001630F2" w:rsidP="00320EA9">
            <w:pPr>
              <w:jc w:val="center"/>
              <w:rPr>
                <w:rFonts w:ascii="Calibri" w:hAnsi="Calibri" w:cs="Calibri"/>
                <w:sz w:val="20"/>
                <w:szCs w:val="20"/>
              </w:rPr>
            </w:pPr>
            <w:r>
              <w:rPr>
                <w:rFonts w:ascii="Calibri" w:hAnsi="Calibri" w:cs="Calibri"/>
                <w:sz w:val="20"/>
                <w:szCs w:val="20"/>
              </w:rPr>
              <w:t>kg waste</w:t>
            </w:r>
          </w:p>
        </w:tc>
        <w:tc>
          <w:tcPr>
            <w:tcW w:w="2526" w:type="dxa"/>
            <w:vAlign w:val="center"/>
          </w:tcPr>
          <w:p w14:paraId="040F888B" w14:textId="62A49960" w:rsidR="00BD45EB" w:rsidRPr="00500C4B" w:rsidRDefault="00140A93" w:rsidP="00320EA9">
            <w:pPr>
              <w:jc w:val="center"/>
              <w:rPr>
                <w:rFonts w:ascii="Calibri" w:hAnsi="Calibri" w:cs="Calibri"/>
                <w:sz w:val="20"/>
                <w:szCs w:val="20"/>
              </w:rPr>
            </w:pPr>
            <w:r>
              <w:rPr>
                <w:rFonts w:ascii="Calibri" w:hAnsi="Calibri" w:cs="Calibri"/>
                <w:sz w:val="20"/>
                <w:szCs w:val="20"/>
              </w:rPr>
              <w:t>8.00E-07</w:t>
            </w:r>
          </w:p>
        </w:tc>
        <w:tc>
          <w:tcPr>
            <w:tcW w:w="2150" w:type="dxa"/>
            <w:vAlign w:val="center"/>
          </w:tcPr>
          <w:p w14:paraId="62F5FCEF" w14:textId="5E09DFDB" w:rsidR="00BD45EB" w:rsidRPr="00500C4B" w:rsidRDefault="005A68B9" w:rsidP="00320EA9">
            <w:pPr>
              <w:jc w:val="center"/>
              <w:rPr>
                <w:rFonts w:ascii="Calibri" w:hAnsi="Calibri" w:cs="Calibri"/>
                <w:sz w:val="20"/>
                <w:szCs w:val="20"/>
              </w:rPr>
            </w:pPr>
            <w:r>
              <w:rPr>
                <w:rFonts w:ascii="Calibri" w:hAnsi="Calibri" w:cs="Calibri"/>
                <w:sz w:val="20"/>
                <w:szCs w:val="20"/>
              </w:rPr>
              <w:t>6.73E-06</w:t>
            </w:r>
          </w:p>
        </w:tc>
      </w:tr>
    </w:tbl>
    <w:p w14:paraId="67F22300" w14:textId="77777777" w:rsidR="00754018" w:rsidRPr="00754018" w:rsidRDefault="00754018" w:rsidP="00754018"/>
    <w:p w14:paraId="181F32ED" w14:textId="29D6DBC1" w:rsidR="003C23A4" w:rsidRPr="00622835" w:rsidRDefault="003C23A4" w:rsidP="007454FE">
      <w:pPr>
        <w:pStyle w:val="Heading2"/>
      </w:pPr>
      <w:r w:rsidRPr="00622835">
        <w:t xml:space="preserve">Learning Objective </w:t>
      </w:r>
      <w:r>
        <w:t>3.2</w:t>
      </w:r>
    </w:p>
    <w:p w14:paraId="7FF17A12" w14:textId="02939BE8" w:rsidR="003C23A4" w:rsidRPr="00622835" w:rsidRDefault="0056187A" w:rsidP="00262FA6">
      <w:pPr>
        <w:pStyle w:val="BodyText"/>
      </w:pPr>
      <w:r w:rsidRPr="00C436F1">
        <w:t>Sketch the s</w:t>
      </w:r>
      <w:r>
        <w:t>ystem boundary</w:t>
      </w:r>
      <w:r w:rsidRPr="00C436F1">
        <w:t xml:space="preserve"> and flows for a life-cycle assessment</w:t>
      </w:r>
      <w:r w:rsidR="003C23A4" w:rsidRPr="00622835">
        <w:t xml:space="preserve">.  </w:t>
      </w:r>
    </w:p>
    <w:p w14:paraId="6DE50BC8" w14:textId="77777777" w:rsidR="003C23A4" w:rsidRPr="00622835" w:rsidRDefault="003C23A4" w:rsidP="007454FE">
      <w:pPr>
        <w:pStyle w:val="Heading3"/>
      </w:pPr>
      <w:r w:rsidRPr="00622835">
        <w:t>Lecture Notes</w:t>
      </w:r>
    </w:p>
    <w:p w14:paraId="448EA37D" w14:textId="2FA68458" w:rsidR="00C46896" w:rsidRDefault="00C46896" w:rsidP="007454FE">
      <w:pPr>
        <w:pStyle w:val="BodyText"/>
        <w:keepNext/>
      </w:pPr>
      <w:r w:rsidRPr="00C7360D">
        <w:t xml:space="preserve">The system boundaries establish the inputs and outputs included in the LCA. </w:t>
      </w:r>
      <w:r>
        <w:t xml:space="preserve">This is important, since it limits the inputs and outputs for the next step in the LCA. For our example, we wanted to understand the environmental impacts of lighting options, so we included raw material inputs, manufacturing, transportation of the product, use and operation of the light, and the end of life. The system diagram provides additional detail in </w:t>
      </w:r>
      <w:r w:rsidR="006C561A">
        <w:fldChar w:fldCharType="begin"/>
      </w:r>
      <w:r w:rsidR="006C561A">
        <w:instrText xml:space="preserve"> REF _Ref51324577 \h </w:instrText>
      </w:r>
      <w:r w:rsidR="006C561A">
        <w:fldChar w:fldCharType="separate"/>
      </w:r>
      <w:r w:rsidR="006C561A">
        <w:t xml:space="preserve">Figure </w:t>
      </w:r>
      <w:r w:rsidR="006C561A">
        <w:rPr>
          <w:noProof/>
        </w:rPr>
        <w:t>3</w:t>
      </w:r>
      <w:r w:rsidR="006C561A">
        <w:fldChar w:fldCharType="end"/>
      </w:r>
      <w:r>
        <w:t xml:space="preserve">. </w:t>
      </w:r>
    </w:p>
    <w:p w14:paraId="677DC857" w14:textId="77777777" w:rsidR="00C46896" w:rsidRDefault="00C46896" w:rsidP="00C46896">
      <w:pPr>
        <w:pStyle w:val="Figure"/>
      </w:pPr>
      <w:r w:rsidRPr="00F51CE2">
        <w:rPr>
          <w:noProof/>
        </w:rPr>
        <w:drawing>
          <wp:inline distT="0" distB="0" distL="0" distR="0" wp14:anchorId="452F2555" wp14:editId="57F32A82">
            <wp:extent cx="5618074" cy="1950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1387" cy="1951270"/>
                    </a:xfrm>
                    <a:prstGeom prst="rect">
                      <a:avLst/>
                    </a:prstGeom>
                  </pic:spPr>
                </pic:pic>
              </a:graphicData>
            </a:graphic>
          </wp:inline>
        </w:drawing>
      </w:r>
    </w:p>
    <w:p w14:paraId="5F7B94F5" w14:textId="25DDD66C" w:rsidR="00C46896" w:rsidRDefault="00C46896" w:rsidP="002F3C54">
      <w:pPr>
        <w:pStyle w:val="Caption-Fig"/>
        <w:jc w:val="center"/>
      </w:pPr>
      <w:bookmarkStart w:id="4" w:name="_Ref51324577"/>
      <w:r>
        <w:t xml:space="preserve">Figure </w:t>
      </w:r>
      <w:r w:rsidR="00811978">
        <w:fldChar w:fldCharType="begin"/>
      </w:r>
      <w:r w:rsidR="00811978">
        <w:instrText xml:space="preserve"> SEQ Figure \* ARABIC </w:instrText>
      </w:r>
      <w:r w:rsidR="00811978">
        <w:fldChar w:fldCharType="separate"/>
      </w:r>
      <w:r w:rsidR="002F3C54">
        <w:rPr>
          <w:noProof/>
        </w:rPr>
        <w:t>3</w:t>
      </w:r>
      <w:r w:rsidR="00811978">
        <w:rPr>
          <w:noProof/>
        </w:rPr>
        <w:fldChar w:fldCharType="end"/>
      </w:r>
      <w:bookmarkEnd w:id="4"/>
      <w:r>
        <w:t>. The system diagram for the example lighting LCA</w:t>
      </w:r>
      <w:r w:rsidR="002F3C54">
        <w:t xml:space="preserve"> (</w:t>
      </w:r>
      <w:proofErr w:type="spellStart"/>
      <w:r w:rsidR="002F3C54">
        <w:t>Scholand</w:t>
      </w:r>
      <w:proofErr w:type="spellEnd"/>
      <w:r w:rsidR="002F3C54">
        <w:t xml:space="preserve"> and Dillon 2012)</w:t>
      </w:r>
    </w:p>
    <w:p w14:paraId="7CC4BB7E" w14:textId="77777777" w:rsidR="00C46896" w:rsidRDefault="00C46896" w:rsidP="00C46896">
      <w:pPr>
        <w:pStyle w:val="BodyText"/>
      </w:pPr>
      <w:r>
        <w:t xml:space="preserve">As we start to detail the technology [A] matrix and create the inventory for our LCA, it often helps to sketch out each element of the system. For our example LCA, we can dive into the manufacturing process in more detail. Each step of the manufacturing can be further divided into unit processes. </w:t>
      </w:r>
    </w:p>
    <w:p w14:paraId="6A56DCB4" w14:textId="77777777" w:rsidR="00C46896" w:rsidRDefault="00C46896" w:rsidP="00C46896">
      <w:pPr>
        <w:pStyle w:val="Figure"/>
      </w:pPr>
      <w:r w:rsidRPr="00BC1272">
        <w:rPr>
          <w:noProof/>
        </w:rPr>
        <w:lastRenderedPageBreak/>
        <w:drawing>
          <wp:inline distT="0" distB="0" distL="0" distR="0" wp14:anchorId="7CB09CA1" wp14:editId="6EBB1E85">
            <wp:extent cx="4491533" cy="27445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6240"/>
                    <a:stretch/>
                  </pic:blipFill>
                  <pic:spPr bwMode="auto">
                    <a:xfrm>
                      <a:off x="0" y="0"/>
                      <a:ext cx="4495964" cy="2747255"/>
                    </a:xfrm>
                    <a:prstGeom prst="rect">
                      <a:avLst/>
                    </a:prstGeom>
                    <a:ln>
                      <a:noFill/>
                    </a:ln>
                    <a:extLst>
                      <a:ext uri="{53640926-AAD7-44D8-BBD7-CCE9431645EC}">
                        <a14:shadowObscured xmlns:a14="http://schemas.microsoft.com/office/drawing/2010/main"/>
                      </a:ext>
                    </a:extLst>
                  </pic:spPr>
                </pic:pic>
              </a:graphicData>
            </a:graphic>
          </wp:inline>
        </w:drawing>
      </w:r>
    </w:p>
    <w:p w14:paraId="215DD689" w14:textId="5C047771" w:rsidR="00C46896" w:rsidRDefault="00C46896" w:rsidP="00C46896">
      <w:pPr>
        <w:pStyle w:val="Caption-Fig"/>
      </w:pPr>
      <w:r>
        <w:t xml:space="preserve">Figure </w:t>
      </w:r>
      <w:r w:rsidR="00811978">
        <w:fldChar w:fldCharType="begin"/>
      </w:r>
      <w:r w:rsidR="00811978">
        <w:instrText xml:space="preserve"> SEQ Figure \* ARABIC </w:instrText>
      </w:r>
      <w:r w:rsidR="00811978">
        <w:fldChar w:fldCharType="separate"/>
      </w:r>
      <w:r w:rsidR="002F3C54">
        <w:rPr>
          <w:noProof/>
        </w:rPr>
        <w:t>4</w:t>
      </w:r>
      <w:r w:rsidR="00811978">
        <w:rPr>
          <w:noProof/>
        </w:rPr>
        <w:fldChar w:fldCharType="end"/>
      </w:r>
      <w:r>
        <w:t>. Major steps in the packaged LED manufacturing process</w:t>
      </w:r>
      <w:r w:rsidR="002F3C54">
        <w:t xml:space="preserve"> (</w:t>
      </w:r>
      <w:proofErr w:type="spellStart"/>
      <w:r w:rsidR="002F3C54">
        <w:t>Scholand</w:t>
      </w:r>
      <w:proofErr w:type="spellEnd"/>
      <w:r w:rsidR="002F3C54">
        <w:t xml:space="preserve"> and Dillon 2012)</w:t>
      </w:r>
    </w:p>
    <w:p w14:paraId="27FC03E3" w14:textId="77777777" w:rsidR="00C46896" w:rsidRDefault="00C46896" w:rsidP="00C46896">
      <w:pPr>
        <w:pStyle w:val="BodyText"/>
      </w:pPr>
      <w:r>
        <w:t>Adding detail allows us to further develop the inputs for each process. We rely on published data for each impact category, but a process like energy production is often well characterized based on cost and environmental categories. The mass per LED is the estimate, and may have higher uncertainty.</w:t>
      </w:r>
    </w:p>
    <w:p w14:paraId="1DBE7ED1" w14:textId="438AC5D3" w:rsidR="00C46896" w:rsidRDefault="00EF530F" w:rsidP="00C46896">
      <w:pPr>
        <w:pStyle w:val="Caption-Tab"/>
      </w:pPr>
      <w:r>
        <w:t xml:space="preserve">Table </w:t>
      </w:r>
      <w:fldSimple w:instr=" SEQ Table \* ARABIC ">
        <w:r>
          <w:rPr>
            <w:noProof/>
          </w:rPr>
          <w:t>3</w:t>
        </w:r>
      </w:fldSimple>
      <w:r w:rsidR="00C46896">
        <w:t>.</w:t>
      </w:r>
      <w:r>
        <w:tab/>
      </w:r>
      <w:r w:rsidR="00C46896">
        <w:t>Example of one aspect unit process in full detail</w:t>
      </w:r>
      <w:r>
        <w:t>; t</w:t>
      </w:r>
      <w:r w:rsidR="00C46896">
        <w:t>his is for the material and energy used in the LED packaging assembly</w:t>
      </w:r>
      <w:r>
        <w:t xml:space="preserve"> (</w:t>
      </w:r>
      <w:proofErr w:type="spellStart"/>
      <w:r>
        <w:t>Scholand</w:t>
      </w:r>
      <w:proofErr w:type="spellEnd"/>
      <w:r>
        <w:t xml:space="preserve"> and Dillon 2012)</w:t>
      </w:r>
    </w:p>
    <w:tbl>
      <w:tblPr>
        <w:tblStyle w:val="PNNLClassic"/>
        <w:tblW w:w="0" w:type="auto"/>
        <w:tblLook w:val="04A0" w:firstRow="1" w:lastRow="0" w:firstColumn="1" w:lastColumn="0" w:noHBand="0" w:noVBand="1"/>
      </w:tblPr>
      <w:tblGrid>
        <w:gridCol w:w="1435"/>
        <w:gridCol w:w="3155"/>
        <w:gridCol w:w="1980"/>
        <w:gridCol w:w="1980"/>
      </w:tblGrid>
      <w:tr w:rsidR="00075691" w14:paraId="2284D387" w14:textId="780658ED" w:rsidTr="00837882">
        <w:trPr>
          <w:cnfStyle w:val="100000000000" w:firstRow="1" w:lastRow="0" w:firstColumn="0" w:lastColumn="0" w:oddVBand="0" w:evenVBand="0" w:oddHBand="0" w:evenHBand="0" w:firstRowFirstColumn="0" w:firstRowLastColumn="0" w:lastRowFirstColumn="0" w:lastRowLastColumn="0"/>
        </w:trPr>
        <w:tc>
          <w:tcPr>
            <w:tcW w:w="1435" w:type="dxa"/>
            <w:vAlign w:val="center"/>
          </w:tcPr>
          <w:p w14:paraId="0237BB11" w14:textId="21BD1CB2" w:rsidR="00075691" w:rsidRPr="00606065" w:rsidRDefault="00075691" w:rsidP="00064FAC">
            <w:pPr>
              <w:pStyle w:val="TableText"/>
              <w:jc w:val="left"/>
              <w:rPr>
                <w:b/>
                <w:bCs/>
              </w:rPr>
            </w:pPr>
          </w:p>
        </w:tc>
        <w:tc>
          <w:tcPr>
            <w:tcW w:w="3155" w:type="dxa"/>
            <w:vAlign w:val="center"/>
          </w:tcPr>
          <w:p w14:paraId="2F102403" w14:textId="449BA2B0" w:rsidR="00075691" w:rsidRPr="00606065" w:rsidRDefault="00075691" w:rsidP="00064FAC">
            <w:pPr>
              <w:pStyle w:val="TableText"/>
              <w:jc w:val="left"/>
              <w:rPr>
                <w:b/>
                <w:bCs/>
              </w:rPr>
            </w:pPr>
          </w:p>
        </w:tc>
        <w:tc>
          <w:tcPr>
            <w:tcW w:w="3960" w:type="dxa"/>
            <w:gridSpan w:val="2"/>
            <w:vAlign w:val="center"/>
          </w:tcPr>
          <w:p w14:paraId="268E61A1" w14:textId="14238405" w:rsidR="00075691" w:rsidRPr="00606065" w:rsidRDefault="00075691" w:rsidP="00064FAC">
            <w:pPr>
              <w:pStyle w:val="TableText"/>
              <w:rPr>
                <w:b/>
                <w:bCs/>
              </w:rPr>
            </w:pPr>
            <w:r w:rsidRPr="00606065">
              <w:rPr>
                <w:b/>
                <w:bCs/>
              </w:rPr>
              <w:t>Amount</w:t>
            </w:r>
          </w:p>
        </w:tc>
      </w:tr>
      <w:tr w:rsidR="00075691" w14:paraId="6871F6FA" w14:textId="4FAFB2CF" w:rsidTr="00837882">
        <w:tc>
          <w:tcPr>
            <w:tcW w:w="1435" w:type="dxa"/>
            <w:vAlign w:val="center"/>
          </w:tcPr>
          <w:p w14:paraId="5CB3985D" w14:textId="04888130" w:rsidR="00075691" w:rsidRPr="00606065" w:rsidRDefault="00D24CF5" w:rsidP="00837882">
            <w:pPr>
              <w:pStyle w:val="TableText"/>
              <w:jc w:val="center"/>
              <w:rPr>
                <w:b/>
                <w:bCs/>
              </w:rPr>
            </w:pPr>
            <w:r w:rsidRPr="00606065">
              <w:rPr>
                <w:b/>
                <w:bCs/>
              </w:rPr>
              <w:t>S</w:t>
            </w:r>
            <w:r w:rsidR="001214F3" w:rsidRPr="00606065">
              <w:rPr>
                <w:b/>
                <w:bCs/>
              </w:rPr>
              <w:t>tage</w:t>
            </w:r>
          </w:p>
        </w:tc>
        <w:tc>
          <w:tcPr>
            <w:tcW w:w="3155" w:type="dxa"/>
            <w:vAlign w:val="center"/>
          </w:tcPr>
          <w:p w14:paraId="70E91C12" w14:textId="1D63C6D3" w:rsidR="00075691" w:rsidRPr="00606065" w:rsidRDefault="001214F3" w:rsidP="00837882">
            <w:pPr>
              <w:pStyle w:val="TableText"/>
              <w:jc w:val="center"/>
              <w:rPr>
                <w:b/>
                <w:bCs/>
              </w:rPr>
            </w:pPr>
            <w:r w:rsidRPr="00606065">
              <w:rPr>
                <w:b/>
                <w:bCs/>
              </w:rPr>
              <w:t xml:space="preserve">Material </w:t>
            </w:r>
            <w:r w:rsidR="00875E91" w:rsidRPr="00606065">
              <w:rPr>
                <w:b/>
                <w:bCs/>
              </w:rPr>
              <w:t>u</w:t>
            </w:r>
            <w:r w:rsidRPr="00606065">
              <w:rPr>
                <w:b/>
                <w:bCs/>
              </w:rPr>
              <w:t>sed</w:t>
            </w:r>
          </w:p>
        </w:tc>
        <w:tc>
          <w:tcPr>
            <w:tcW w:w="1980" w:type="dxa"/>
            <w:vAlign w:val="center"/>
          </w:tcPr>
          <w:p w14:paraId="39E6DB25" w14:textId="25B046DB" w:rsidR="00075691" w:rsidRPr="00606065" w:rsidRDefault="004B47A6" w:rsidP="00837882">
            <w:pPr>
              <w:pStyle w:val="TableText"/>
              <w:jc w:val="center"/>
              <w:rPr>
                <w:b/>
                <w:bCs/>
              </w:rPr>
            </w:pPr>
            <w:r w:rsidRPr="00606065">
              <w:rPr>
                <w:b/>
                <w:bCs/>
              </w:rPr>
              <w:t>Volume per LED</w:t>
            </w:r>
          </w:p>
        </w:tc>
        <w:tc>
          <w:tcPr>
            <w:tcW w:w="1980" w:type="dxa"/>
            <w:vAlign w:val="center"/>
          </w:tcPr>
          <w:p w14:paraId="226B9567" w14:textId="4D7EB6E8" w:rsidR="00075691" w:rsidRPr="00606065" w:rsidRDefault="004B47A6" w:rsidP="00837882">
            <w:pPr>
              <w:pStyle w:val="TableText"/>
              <w:jc w:val="center"/>
              <w:rPr>
                <w:b/>
                <w:bCs/>
              </w:rPr>
            </w:pPr>
            <w:r w:rsidRPr="00606065">
              <w:rPr>
                <w:b/>
                <w:bCs/>
              </w:rPr>
              <w:t>Mass per LED</w:t>
            </w:r>
          </w:p>
        </w:tc>
      </w:tr>
      <w:tr w:rsidR="00075691" w14:paraId="1A46DEA3" w14:textId="10C46A41" w:rsidTr="00837882">
        <w:trPr>
          <w:cnfStyle w:val="000000010000" w:firstRow="0" w:lastRow="0" w:firstColumn="0" w:lastColumn="0" w:oddVBand="0" w:evenVBand="0" w:oddHBand="0" w:evenHBand="1" w:firstRowFirstColumn="0" w:firstRowLastColumn="0" w:lastRowFirstColumn="0" w:lastRowLastColumn="0"/>
        </w:trPr>
        <w:tc>
          <w:tcPr>
            <w:tcW w:w="1435" w:type="dxa"/>
            <w:vAlign w:val="center"/>
          </w:tcPr>
          <w:p w14:paraId="771CBB2B" w14:textId="342C79D8" w:rsidR="00075691" w:rsidRDefault="008908AD" w:rsidP="00064FAC">
            <w:pPr>
              <w:pStyle w:val="TableText"/>
            </w:pPr>
            <w:r>
              <w:t>Material</w:t>
            </w:r>
          </w:p>
        </w:tc>
        <w:tc>
          <w:tcPr>
            <w:tcW w:w="3155" w:type="dxa"/>
            <w:vAlign w:val="center"/>
          </w:tcPr>
          <w:p w14:paraId="24456579" w14:textId="7A8D22DF" w:rsidR="00075691" w:rsidRDefault="00C91BFA" w:rsidP="00064FAC">
            <w:pPr>
              <w:pStyle w:val="TableText"/>
            </w:pPr>
            <w:r>
              <w:t xml:space="preserve">Ceramic </w:t>
            </w:r>
            <w:r w:rsidR="00875E91">
              <w:t>s</w:t>
            </w:r>
            <w:r>
              <w:t>ubstrate (2-layer alumina)</w:t>
            </w:r>
          </w:p>
        </w:tc>
        <w:tc>
          <w:tcPr>
            <w:tcW w:w="1980" w:type="dxa"/>
            <w:vAlign w:val="center"/>
          </w:tcPr>
          <w:p w14:paraId="15528862" w14:textId="6BC8CEAE" w:rsidR="00075691" w:rsidRDefault="00FF218A" w:rsidP="00064FAC">
            <w:pPr>
              <w:pStyle w:val="TableText"/>
            </w:pPr>
            <w:r>
              <w:t>13.5 mm</w:t>
            </w:r>
            <w:r w:rsidRPr="005C1473">
              <w:rPr>
                <w:vertAlign w:val="superscript"/>
              </w:rPr>
              <w:t>2</w:t>
            </w:r>
            <w:r>
              <w:t>/LED</w:t>
            </w:r>
          </w:p>
        </w:tc>
        <w:tc>
          <w:tcPr>
            <w:tcW w:w="1980" w:type="dxa"/>
            <w:vAlign w:val="center"/>
          </w:tcPr>
          <w:p w14:paraId="5A2D05BF" w14:textId="30B79F6E" w:rsidR="00075691" w:rsidRDefault="00304DFD" w:rsidP="00064FAC">
            <w:pPr>
              <w:pStyle w:val="TableText"/>
            </w:pPr>
            <w:r>
              <w:t>0.0135 g/LED</w:t>
            </w:r>
          </w:p>
        </w:tc>
      </w:tr>
      <w:tr w:rsidR="00075691" w14:paraId="1E50B956" w14:textId="5C26F589" w:rsidTr="00837882">
        <w:tc>
          <w:tcPr>
            <w:tcW w:w="1435" w:type="dxa"/>
            <w:vAlign w:val="center"/>
          </w:tcPr>
          <w:p w14:paraId="2BD7CE2F" w14:textId="3B340B10" w:rsidR="00075691" w:rsidRDefault="008908AD" w:rsidP="00064FAC">
            <w:pPr>
              <w:pStyle w:val="TableText"/>
            </w:pPr>
            <w:r>
              <w:t>Production</w:t>
            </w:r>
          </w:p>
        </w:tc>
        <w:tc>
          <w:tcPr>
            <w:tcW w:w="3155" w:type="dxa"/>
            <w:vAlign w:val="center"/>
          </w:tcPr>
          <w:p w14:paraId="110DB90B" w14:textId="726B3CBD" w:rsidR="00075691" w:rsidRDefault="00784C46" w:rsidP="00064FAC">
            <w:pPr>
              <w:pStyle w:val="TableText"/>
            </w:pPr>
            <w:r>
              <w:t>Energy (kWh)</w:t>
            </w:r>
          </w:p>
        </w:tc>
        <w:tc>
          <w:tcPr>
            <w:tcW w:w="1980" w:type="dxa"/>
            <w:vAlign w:val="center"/>
          </w:tcPr>
          <w:p w14:paraId="568097E9" w14:textId="02C732FC" w:rsidR="00075691" w:rsidRDefault="00FF218A" w:rsidP="00064FAC">
            <w:pPr>
              <w:pStyle w:val="TableText"/>
            </w:pPr>
            <w:r>
              <w:t>0.03 mm</w:t>
            </w:r>
            <w:r w:rsidRPr="005C1473">
              <w:rPr>
                <w:vertAlign w:val="superscript"/>
              </w:rPr>
              <w:t>2</w:t>
            </w:r>
            <w:r>
              <w:t>/LED</w:t>
            </w:r>
          </w:p>
        </w:tc>
        <w:tc>
          <w:tcPr>
            <w:tcW w:w="1980" w:type="dxa"/>
            <w:vAlign w:val="center"/>
          </w:tcPr>
          <w:p w14:paraId="5DA6805B" w14:textId="25031073" w:rsidR="00075691" w:rsidRDefault="00304DFD" w:rsidP="00064FAC">
            <w:pPr>
              <w:pStyle w:val="TableText"/>
            </w:pPr>
            <w:r>
              <w:t>0.03 kWh/LED</w:t>
            </w:r>
          </w:p>
        </w:tc>
      </w:tr>
      <w:tr w:rsidR="00075691" w14:paraId="0C93A53D" w14:textId="5B636925" w:rsidTr="00837882">
        <w:trPr>
          <w:cnfStyle w:val="000000010000" w:firstRow="0" w:lastRow="0" w:firstColumn="0" w:lastColumn="0" w:oddVBand="0" w:evenVBand="0" w:oddHBand="0" w:evenHBand="1" w:firstRowFirstColumn="0" w:firstRowLastColumn="0" w:lastRowFirstColumn="0" w:lastRowLastColumn="0"/>
        </w:trPr>
        <w:tc>
          <w:tcPr>
            <w:tcW w:w="1435" w:type="dxa"/>
            <w:vAlign w:val="center"/>
          </w:tcPr>
          <w:p w14:paraId="19E2DD1B" w14:textId="70BE2373" w:rsidR="00075691" w:rsidRDefault="008908AD" w:rsidP="00064FAC">
            <w:pPr>
              <w:pStyle w:val="TableText"/>
            </w:pPr>
            <w:r>
              <w:t>Material</w:t>
            </w:r>
          </w:p>
        </w:tc>
        <w:tc>
          <w:tcPr>
            <w:tcW w:w="3155" w:type="dxa"/>
            <w:vAlign w:val="center"/>
          </w:tcPr>
          <w:p w14:paraId="2F490583" w14:textId="1F14A1C7" w:rsidR="00075691" w:rsidRDefault="00784C46" w:rsidP="00064FAC">
            <w:pPr>
              <w:pStyle w:val="TableText"/>
            </w:pPr>
            <w:r>
              <w:t>ESD diode (Silicon)</w:t>
            </w:r>
          </w:p>
        </w:tc>
        <w:tc>
          <w:tcPr>
            <w:tcW w:w="1980" w:type="dxa"/>
            <w:vAlign w:val="center"/>
          </w:tcPr>
          <w:p w14:paraId="1F654EFB" w14:textId="17AE3085" w:rsidR="00075691" w:rsidRDefault="00744D3C" w:rsidP="00064FAC">
            <w:pPr>
              <w:pStyle w:val="TableText"/>
            </w:pPr>
            <w:r>
              <w:t>0.22 mm</w:t>
            </w:r>
            <w:r w:rsidRPr="00EE098E">
              <w:rPr>
                <w:vertAlign w:val="superscript"/>
              </w:rPr>
              <w:t>2</w:t>
            </w:r>
            <w:r>
              <w:t>/LED</w:t>
            </w:r>
          </w:p>
        </w:tc>
        <w:tc>
          <w:tcPr>
            <w:tcW w:w="1980" w:type="dxa"/>
            <w:vAlign w:val="center"/>
          </w:tcPr>
          <w:p w14:paraId="0FC5918D" w14:textId="01E6AECB" w:rsidR="00075691" w:rsidRDefault="00BF4326" w:rsidP="00064FAC">
            <w:pPr>
              <w:pStyle w:val="TableText"/>
            </w:pPr>
            <w:r>
              <w:t>0.055 g/LED</w:t>
            </w:r>
          </w:p>
        </w:tc>
      </w:tr>
      <w:tr w:rsidR="00075691" w14:paraId="509D61A9" w14:textId="125392AE" w:rsidTr="00837882">
        <w:tc>
          <w:tcPr>
            <w:tcW w:w="1435" w:type="dxa"/>
            <w:vAlign w:val="center"/>
          </w:tcPr>
          <w:p w14:paraId="1736D587" w14:textId="38AFBC2E" w:rsidR="00075691" w:rsidRDefault="008908AD" w:rsidP="00064FAC">
            <w:pPr>
              <w:pStyle w:val="TableText"/>
            </w:pPr>
            <w:r>
              <w:t>Material</w:t>
            </w:r>
          </w:p>
        </w:tc>
        <w:tc>
          <w:tcPr>
            <w:tcW w:w="3155" w:type="dxa"/>
            <w:vAlign w:val="center"/>
          </w:tcPr>
          <w:p w14:paraId="2DAA50A5" w14:textId="05B21D70" w:rsidR="00075691" w:rsidRDefault="00875E91" w:rsidP="00064FAC">
            <w:pPr>
              <w:pStyle w:val="TableText"/>
            </w:pPr>
            <w:r>
              <w:t>Gold</w:t>
            </w:r>
          </w:p>
        </w:tc>
        <w:tc>
          <w:tcPr>
            <w:tcW w:w="1980" w:type="dxa"/>
            <w:vAlign w:val="center"/>
          </w:tcPr>
          <w:p w14:paraId="79E4910C" w14:textId="22F10E19" w:rsidR="00075691" w:rsidRDefault="00744D3C" w:rsidP="00064FAC">
            <w:pPr>
              <w:pStyle w:val="TableText"/>
            </w:pPr>
            <w:r>
              <w:t>0.004 mm</w:t>
            </w:r>
            <w:r w:rsidRPr="00EE098E">
              <w:rPr>
                <w:vertAlign w:val="superscript"/>
              </w:rPr>
              <w:t>3</w:t>
            </w:r>
            <w:r>
              <w:t>/LED</w:t>
            </w:r>
          </w:p>
        </w:tc>
        <w:tc>
          <w:tcPr>
            <w:tcW w:w="1980" w:type="dxa"/>
            <w:vAlign w:val="center"/>
          </w:tcPr>
          <w:p w14:paraId="2B2EC659" w14:textId="65683B21" w:rsidR="00075691" w:rsidRDefault="00BF4326" w:rsidP="00064FAC">
            <w:pPr>
              <w:pStyle w:val="TableText"/>
            </w:pPr>
            <w:r>
              <w:t>0.00006 g/LED</w:t>
            </w:r>
          </w:p>
        </w:tc>
      </w:tr>
      <w:tr w:rsidR="00075691" w14:paraId="04611EA1" w14:textId="3B0D930E" w:rsidTr="00837882">
        <w:trPr>
          <w:cnfStyle w:val="000000010000" w:firstRow="0" w:lastRow="0" w:firstColumn="0" w:lastColumn="0" w:oddVBand="0" w:evenVBand="0" w:oddHBand="0" w:evenHBand="1" w:firstRowFirstColumn="0" w:firstRowLastColumn="0" w:lastRowFirstColumn="0" w:lastRowLastColumn="0"/>
        </w:trPr>
        <w:tc>
          <w:tcPr>
            <w:tcW w:w="1435" w:type="dxa"/>
            <w:vAlign w:val="center"/>
          </w:tcPr>
          <w:p w14:paraId="40B8643D" w14:textId="69A9B4C1" w:rsidR="00075691" w:rsidRDefault="008908AD" w:rsidP="00064FAC">
            <w:pPr>
              <w:pStyle w:val="TableText"/>
            </w:pPr>
            <w:r>
              <w:t>Material</w:t>
            </w:r>
          </w:p>
        </w:tc>
        <w:tc>
          <w:tcPr>
            <w:tcW w:w="3155" w:type="dxa"/>
            <w:vAlign w:val="center"/>
          </w:tcPr>
          <w:p w14:paraId="7CEA5BD0" w14:textId="6070CB7D" w:rsidR="00075691" w:rsidRDefault="00875E91" w:rsidP="00064FAC">
            <w:pPr>
              <w:pStyle w:val="TableText"/>
            </w:pPr>
            <w:r>
              <w:t>Underfill</w:t>
            </w:r>
          </w:p>
        </w:tc>
        <w:tc>
          <w:tcPr>
            <w:tcW w:w="1980" w:type="dxa"/>
            <w:vAlign w:val="center"/>
          </w:tcPr>
          <w:p w14:paraId="45D12ABB" w14:textId="6208CB39" w:rsidR="00075691" w:rsidRDefault="00744D3C" w:rsidP="00064FAC">
            <w:pPr>
              <w:pStyle w:val="TableText"/>
            </w:pPr>
            <w:r>
              <w:t>0.05 mm</w:t>
            </w:r>
            <w:r w:rsidRPr="008A11A0">
              <w:rPr>
                <w:vertAlign w:val="superscript"/>
              </w:rPr>
              <w:t>3</w:t>
            </w:r>
            <w:r>
              <w:t>/LED</w:t>
            </w:r>
          </w:p>
        </w:tc>
        <w:tc>
          <w:tcPr>
            <w:tcW w:w="1980" w:type="dxa"/>
            <w:vAlign w:val="center"/>
          </w:tcPr>
          <w:p w14:paraId="12CF659E" w14:textId="21000E41" w:rsidR="00075691" w:rsidRDefault="00BF4326" w:rsidP="00064FAC">
            <w:pPr>
              <w:pStyle w:val="TableText"/>
            </w:pPr>
            <w:r>
              <w:t>0.0196 g/LED</w:t>
            </w:r>
          </w:p>
        </w:tc>
      </w:tr>
      <w:tr w:rsidR="008908AD" w14:paraId="3257AC23" w14:textId="77777777" w:rsidTr="00837882">
        <w:tc>
          <w:tcPr>
            <w:tcW w:w="1435" w:type="dxa"/>
            <w:vAlign w:val="center"/>
          </w:tcPr>
          <w:p w14:paraId="5BD65BCF" w14:textId="09F04E96" w:rsidR="008908AD" w:rsidRDefault="008908AD" w:rsidP="00064FAC">
            <w:pPr>
              <w:pStyle w:val="TableText"/>
            </w:pPr>
            <w:r>
              <w:t>Material</w:t>
            </w:r>
          </w:p>
        </w:tc>
        <w:tc>
          <w:tcPr>
            <w:tcW w:w="3155" w:type="dxa"/>
            <w:vAlign w:val="center"/>
          </w:tcPr>
          <w:p w14:paraId="498CF1DC" w14:textId="67590214" w:rsidR="008908AD" w:rsidRDefault="00875E91" w:rsidP="00064FAC">
            <w:pPr>
              <w:pStyle w:val="TableText"/>
            </w:pPr>
            <w:r>
              <w:t>Silicone</w:t>
            </w:r>
          </w:p>
        </w:tc>
        <w:tc>
          <w:tcPr>
            <w:tcW w:w="1980" w:type="dxa"/>
            <w:vAlign w:val="center"/>
          </w:tcPr>
          <w:p w14:paraId="3F2760B6" w14:textId="62B39A5A" w:rsidR="008908AD" w:rsidRDefault="00744D3C" w:rsidP="00064FAC">
            <w:pPr>
              <w:pStyle w:val="TableText"/>
            </w:pPr>
            <w:r>
              <w:t>8.4 mm</w:t>
            </w:r>
            <w:r w:rsidRPr="008A11A0">
              <w:rPr>
                <w:vertAlign w:val="superscript"/>
              </w:rPr>
              <w:t>3</w:t>
            </w:r>
            <w:r>
              <w:t>/LED</w:t>
            </w:r>
          </w:p>
        </w:tc>
        <w:tc>
          <w:tcPr>
            <w:tcW w:w="1980" w:type="dxa"/>
            <w:vAlign w:val="center"/>
          </w:tcPr>
          <w:p w14:paraId="64B5ED26" w14:textId="0250A4E7" w:rsidR="008908AD" w:rsidRDefault="00BF4326" w:rsidP="00064FAC">
            <w:pPr>
              <w:pStyle w:val="TableText"/>
            </w:pPr>
            <w:r>
              <w:t>0.00006 g/LED</w:t>
            </w:r>
          </w:p>
        </w:tc>
      </w:tr>
    </w:tbl>
    <w:p w14:paraId="3DD4128F" w14:textId="77777777" w:rsidR="00B449C4" w:rsidRPr="00B449C4" w:rsidRDefault="00B449C4" w:rsidP="00B449C4"/>
    <w:p w14:paraId="2342EFD8" w14:textId="45925761" w:rsidR="009A1BAA" w:rsidRDefault="009A1BAA" w:rsidP="00622835">
      <w:pPr>
        <w:pStyle w:val="Heading3"/>
      </w:pPr>
      <w:r>
        <w:t>References</w:t>
      </w:r>
    </w:p>
    <w:p w14:paraId="1C299EEE" w14:textId="404AF72F" w:rsidR="00AF3C8F" w:rsidRPr="00592C97" w:rsidRDefault="00AF3C8F" w:rsidP="00AF3C8F">
      <w:pPr>
        <w:pStyle w:val="reference"/>
        <w:rPr>
          <w:noProof/>
        </w:rPr>
      </w:pPr>
      <w:r w:rsidRPr="00592C97">
        <w:rPr>
          <w:noProof/>
        </w:rPr>
        <w:t xml:space="preserve">Dillon HE, </w:t>
      </w:r>
      <w:r>
        <w:rPr>
          <w:noProof/>
        </w:rPr>
        <w:t xml:space="preserve">C </w:t>
      </w:r>
      <w:r w:rsidRPr="00592C97">
        <w:rPr>
          <w:noProof/>
        </w:rPr>
        <w:t xml:space="preserve">Ross, </w:t>
      </w:r>
      <w:r w:rsidR="00DA6020">
        <w:rPr>
          <w:noProof/>
        </w:rPr>
        <w:t>and R</w:t>
      </w:r>
      <w:r w:rsidRPr="00592C97">
        <w:rPr>
          <w:noProof/>
        </w:rPr>
        <w:t xml:space="preserve"> Dzombak. 2019. Environmental and Energy Improvements of LED Lamps over Time: A Comparative Life Cycle Assessment. </w:t>
      </w:r>
      <w:r w:rsidRPr="00592C97">
        <w:rPr>
          <w:i/>
          <w:iCs/>
          <w:noProof/>
        </w:rPr>
        <w:t>LEUKOS The Journal of the Illuminating Engineering Society</w:t>
      </w:r>
      <w:r w:rsidRPr="00592C97">
        <w:rPr>
          <w:noProof/>
        </w:rPr>
        <w:t xml:space="preserve">, 1–9. </w:t>
      </w:r>
      <w:hyperlink r:id="rId18" w:history="1">
        <w:r w:rsidR="00DA6020" w:rsidRPr="00FA1A38">
          <w:rPr>
            <w:rStyle w:val="Hyperlink"/>
            <w:noProof/>
          </w:rPr>
          <w:t>https://doi.org/10.1080/15502724.2018.1541748</w:t>
        </w:r>
      </w:hyperlink>
      <w:r w:rsidR="00DA6020">
        <w:rPr>
          <w:noProof/>
        </w:rPr>
        <w:t xml:space="preserve"> </w:t>
      </w:r>
    </w:p>
    <w:p w14:paraId="03C2C36B" w14:textId="695EBAFB" w:rsidR="00AF3C8F" w:rsidRPr="00592C97" w:rsidRDefault="00AF3C8F" w:rsidP="00AF3C8F">
      <w:pPr>
        <w:pStyle w:val="reference"/>
        <w:rPr>
          <w:noProof/>
        </w:rPr>
      </w:pPr>
      <w:r w:rsidRPr="00592C97">
        <w:rPr>
          <w:noProof/>
        </w:rPr>
        <w:t xml:space="preserve">Heijungs R </w:t>
      </w:r>
      <w:r w:rsidR="00DA6020">
        <w:rPr>
          <w:noProof/>
        </w:rPr>
        <w:t>and S</w:t>
      </w:r>
      <w:r w:rsidRPr="00592C97">
        <w:rPr>
          <w:noProof/>
        </w:rPr>
        <w:t xml:space="preserve"> Suh. 2002. </w:t>
      </w:r>
      <w:r w:rsidRPr="00592C97">
        <w:rPr>
          <w:i/>
          <w:iCs/>
          <w:noProof/>
        </w:rPr>
        <w:t>The Computational Structure of Life Cycle Assessment</w:t>
      </w:r>
      <w:r w:rsidRPr="00592C97">
        <w:rPr>
          <w:noProof/>
        </w:rPr>
        <w:t xml:space="preserve">. </w:t>
      </w:r>
      <w:hyperlink r:id="rId19" w:history="1">
        <w:r w:rsidR="00DA6020" w:rsidRPr="00FA1A38">
          <w:rPr>
            <w:rStyle w:val="Hyperlink"/>
            <w:noProof/>
          </w:rPr>
          <w:t>https://doi.org/10.1007/978-94-015-9900-9</w:t>
        </w:r>
      </w:hyperlink>
      <w:r w:rsidR="00DA6020">
        <w:rPr>
          <w:noProof/>
        </w:rPr>
        <w:t>.</w:t>
      </w:r>
    </w:p>
    <w:p w14:paraId="61CF80C3" w14:textId="3B240B13" w:rsidR="00AF3C8F" w:rsidRPr="00592C97" w:rsidRDefault="00AF3C8F" w:rsidP="00AF3C8F">
      <w:pPr>
        <w:pStyle w:val="reference"/>
        <w:rPr>
          <w:noProof/>
        </w:rPr>
      </w:pPr>
      <w:r w:rsidRPr="00592C97">
        <w:rPr>
          <w:noProof/>
        </w:rPr>
        <w:lastRenderedPageBreak/>
        <w:t xml:space="preserve">International Organization for Standardization. </w:t>
      </w:r>
      <w:r w:rsidR="00DA6020">
        <w:rPr>
          <w:noProof/>
        </w:rPr>
        <w:t xml:space="preserve">2006. </w:t>
      </w:r>
      <w:r w:rsidRPr="00DA6020">
        <w:rPr>
          <w:i/>
          <w:iCs/>
          <w:noProof/>
        </w:rPr>
        <w:t>ISO 14040:2006 - Environmental management -- Life cycle assessment -- Principles and framework</w:t>
      </w:r>
      <w:r w:rsidRPr="00592C97">
        <w:rPr>
          <w:noProof/>
        </w:rPr>
        <w:t>. Pub. L. No. ISO 14040:2006</w:t>
      </w:r>
      <w:r w:rsidR="00DA6020">
        <w:rPr>
          <w:noProof/>
        </w:rPr>
        <w:t>.</w:t>
      </w:r>
      <w:r w:rsidR="000B7EB9">
        <w:rPr>
          <w:noProof/>
        </w:rPr>
        <w:t xml:space="preserve"> </w:t>
      </w:r>
      <w:hyperlink r:id="rId20" w:history="1">
        <w:r w:rsidR="000B7EB9" w:rsidRPr="000B7EB9">
          <w:rPr>
            <w:rFonts w:eastAsia="Arial" w:cs="Times New Roman"/>
            <w:noProof/>
            <w:color w:val="0563C1"/>
            <w:u w:val="single"/>
          </w:rPr>
          <w:t>https://www.iso.org/standard/37456.html</w:t>
        </w:r>
      </w:hyperlink>
    </w:p>
    <w:p w14:paraId="708BAF13" w14:textId="442A1C94" w:rsidR="00AF3C8F" w:rsidRPr="00592C97" w:rsidRDefault="00AF3C8F" w:rsidP="00AF3C8F">
      <w:pPr>
        <w:pStyle w:val="reference"/>
        <w:rPr>
          <w:noProof/>
        </w:rPr>
      </w:pPr>
      <w:r w:rsidRPr="00592C97">
        <w:rPr>
          <w:noProof/>
        </w:rPr>
        <w:t xml:space="preserve">Navigant Consulting. 2012. Life-Cycle Assessment of Energy and Environmental Impacts of LED Lighting Products, Part 1: Review of the Life-Cycle Energy Consumption of Incandescent, Compact Fluorescent, and LED Lamps. In </w:t>
      </w:r>
      <w:r w:rsidRPr="00592C97">
        <w:rPr>
          <w:i/>
          <w:iCs/>
          <w:noProof/>
        </w:rPr>
        <w:t>Energy</w:t>
      </w:r>
      <w:r w:rsidRPr="00592C97">
        <w:rPr>
          <w:noProof/>
        </w:rPr>
        <w:t xml:space="preserve">. Retrieved from </w:t>
      </w:r>
      <w:hyperlink r:id="rId21" w:history="1">
        <w:r w:rsidR="00DA6020" w:rsidRPr="00FA1A38">
          <w:rPr>
            <w:rStyle w:val="Hyperlink"/>
            <w:noProof/>
          </w:rPr>
          <w:t>http://apps1.eere.energy.gov/buildings/publications/pdfs/ssl/2012_LED_Lifecycle_Report.pdf</w:t>
        </w:r>
      </w:hyperlink>
      <w:r w:rsidR="00DA6020">
        <w:rPr>
          <w:noProof/>
        </w:rPr>
        <w:t>.</w:t>
      </w:r>
    </w:p>
    <w:p w14:paraId="7040BD8E" w14:textId="4A25DB5E" w:rsidR="00AF3C8F" w:rsidRPr="00592C97" w:rsidRDefault="00811978" w:rsidP="00811978">
      <w:pPr>
        <w:pStyle w:val="reference"/>
        <w:rPr>
          <w:rFonts w:cs="Calibri"/>
          <w:noProof/>
        </w:rPr>
      </w:pPr>
      <w:r w:rsidRPr="00811978">
        <w:rPr>
          <w:rFonts w:eastAsia="Times New Roman" w:cs="Times New Roman"/>
          <w:noProof/>
        </w:rPr>
        <w:t xml:space="preserve">Scholand MJ and HE Dillon. 2012. </w:t>
      </w:r>
      <w:r w:rsidRPr="00811978">
        <w:rPr>
          <w:rFonts w:eastAsia="Times New Roman" w:cs="Times New Roman"/>
          <w:i/>
          <w:iCs/>
          <w:noProof/>
        </w:rPr>
        <w:t>Life-Cycle Assessment of Energy and Environmental Impacts of LED Lighting Products, Part 2: LED Manufacturing and Performance</w:t>
      </w:r>
      <w:r w:rsidRPr="00811978">
        <w:rPr>
          <w:rFonts w:eastAsia="Times New Roman" w:cs="Times New Roman"/>
          <w:noProof/>
        </w:rPr>
        <w:t>. PNNL-21443, prepared by Pacific Northwest National Laboraotry for the U.S. Department of Energy. Retrieved from</w:t>
      </w:r>
      <w:r w:rsidRPr="00811978">
        <w:rPr>
          <w:rFonts w:eastAsia="Calibri" w:cs="Times New Roman"/>
        </w:rPr>
        <w:t xml:space="preserve"> </w:t>
      </w:r>
      <w:hyperlink r:id="rId22" w:history="1">
        <w:r w:rsidRPr="00811978">
          <w:rPr>
            <w:rFonts w:eastAsia="Times New Roman" w:cs="Times New Roman"/>
            <w:noProof/>
            <w:color w:val="0563C1"/>
            <w:u w:val="single"/>
          </w:rPr>
          <w:t>https://www.pnnl.gov/main/publications/external/technical_reports/PNNL-21443.pdf</w:t>
        </w:r>
      </w:hyperlink>
      <w:r>
        <w:rPr>
          <w:rFonts w:eastAsia="Times New Roman" w:cs="Times New Roman"/>
          <w:noProof/>
        </w:rPr>
        <w:t>.</w:t>
      </w:r>
      <w:bookmarkStart w:id="5" w:name="_GoBack"/>
      <w:bookmarkEnd w:id="5"/>
      <w:r w:rsidR="006C2822">
        <w:rPr>
          <w:rFonts w:ascii="Times New Roman" w:hAnsi="Times New Roman"/>
          <w:sz w:val="24"/>
        </w:rPr>
        <w:fldChar w:fldCharType="begin" w:fldLock="1"/>
      </w:r>
      <w:r w:rsidR="006C2822">
        <w:instrText xml:space="preserve">ADDIN Mendeley Bibliography CSL_BIBLIOGRAPHY </w:instrText>
      </w:r>
      <w:r w:rsidR="006C2822">
        <w:rPr>
          <w:rFonts w:ascii="Times New Roman" w:hAnsi="Times New Roman"/>
          <w:sz w:val="24"/>
        </w:rPr>
        <w:fldChar w:fldCharType="separate"/>
      </w:r>
    </w:p>
    <w:p w14:paraId="58AA4288" w14:textId="7359B333" w:rsidR="000A0897" w:rsidRDefault="006C2822" w:rsidP="006C2822">
      <w:pPr>
        <w:pStyle w:val="reference"/>
      </w:pPr>
      <w:r>
        <w:fldChar w:fldCharType="end"/>
      </w:r>
    </w:p>
    <w:p w14:paraId="16C74EA6" w14:textId="77777777" w:rsidR="003478F1" w:rsidRDefault="003478F1" w:rsidP="00F06A04">
      <w:pPr>
        <w:pStyle w:val="BodyText"/>
        <w:sectPr w:rsidR="003478F1" w:rsidSect="00BC3AAA">
          <w:footerReference w:type="default" r:id="rId23"/>
          <w:footnotePr>
            <w:numRestart w:val="eachPage"/>
          </w:footnotePr>
          <w:pgSz w:w="12240" w:h="15840" w:code="1"/>
          <w:pgMar w:top="1440" w:right="1440" w:bottom="1440" w:left="1440" w:header="720" w:footer="720" w:gutter="0"/>
          <w:pgNumType w:chapSep="period"/>
          <w:cols w:space="720"/>
        </w:sectPr>
      </w:pPr>
    </w:p>
    <w:p w14:paraId="50058A45" w14:textId="77777777" w:rsidR="00512532" w:rsidRPr="0026210F" w:rsidRDefault="00512532" w:rsidP="00AB43A1">
      <w:pPr>
        <w:pStyle w:val="BodyText"/>
        <w:rPr>
          <w:noProof/>
        </w:rPr>
      </w:pPr>
      <w:bookmarkStart w:id="6" w:name="_Toc126469337"/>
      <w:bookmarkStart w:id="7" w:name="_Toc195079668"/>
      <w:bookmarkEnd w:id="6"/>
      <w:bookmarkEnd w:id="7"/>
    </w:p>
    <w:sectPr w:rsidR="00512532" w:rsidRPr="0026210F" w:rsidSect="00655AA9">
      <w:footerReference w:type="default" r:id="rId24"/>
      <w:footnotePr>
        <w:numRestart w:val="eachPage"/>
      </w:footnotePr>
      <w:type w:val="continuous"/>
      <w:pgSz w:w="12240" w:h="15840" w:code="1"/>
      <w:pgMar w:top="1440" w:right="1440" w:bottom="1440" w:left="1440" w:header="720" w:footer="720" w:gutter="0"/>
      <w:pgNumType w:start="1" w:chapStyle="6" w:chapSep="period"/>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969A" w16cex:dateUtc="2020-09-17T15:02:00Z"/>
  <w16cex:commentExtensible w16cex:durableId="230F248E" w16cex:dateUtc="2020-09-18T19:20:00Z"/>
  <w16cex:commentExtensible w16cex:durableId="230F252E" w16cex:dateUtc="2020-09-18T19:23:00Z"/>
  <w16cex:commentExtensible w16cex:durableId="230F22E5" w16cex:dateUtc="2020-09-18T19:13:00Z"/>
  <w16cex:commentExtensible w16cex:durableId="230F2542" w16cex:dateUtc="2020-09-18T19: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D9F7" w14:textId="77777777" w:rsidR="000E1752" w:rsidRDefault="000E1752">
      <w:r>
        <w:separator/>
      </w:r>
    </w:p>
    <w:p w14:paraId="3AC6BCAF" w14:textId="77777777" w:rsidR="000E1752" w:rsidRDefault="000E1752"/>
  </w:endnote>
  <w:endnote w:type="continuationSeparator" w:id="0">
    <w:p w14:paraId="69BC62BE" w14:textId="77777777" w:rsidR="000E1752" w:rsidRDefault="000E1752" w:rsidP="00E12AF4">
      <w:r>
        <w:continuationSeparator/>
      </w:r>
    </w:p>
    <w:p w14:paraId="7B2513D2" w14:textId="77777777" w:rsidR="000E1752" w:rsidRDefault="000E1752"/>
    <w:p w14:paraId="587668B5" w14:textId="77777777" w:rsidR="000E1752" w:rsidRDefault="000E1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48630"/>
      <w:placeholder>
        <w:docPart w:val="9DBEFF36D3DB40DA877C5E6C13C3049B"/>
      </w:placeholder>
      <w:docPartList>
        <w:docPartGallery w:val="Custom 5"/>
        <w:docPartCategory w:val="PNNL_Footer"/>
      </w:docPartList>
    </w:sdtPr>
    <w:sdtEndPr>
      <w:rPr>
        <w:sz w:val="2"/>
      </w:rPr>
    </w:sdtEndPr>
    <w:sdtContent>
      <w:p w14:paraId="5D6FABF0" w14:textId="4AEA1497" w:rsidR="00310A51" w:rsidRPr="004A517F" w:rsidRDefault="00310A51" w:rsidP="008534B1">
        <w:pPr>
          <w:pStyle w:val="Footer"/>
          <w:tabs>
            <w:tab w:val="clear" w:pos="10080"/>
            <w:tab w:val="right" w:pos="13680"/>
          </w:tabs>
          <w:jc w:val="left"/>
        </w:pPr>
        <w:r w:rsidRPr="004A517F">
          <w:rPr>
            <w:rStyle w:val="HeaderChar"/>
          </w:rPr>
          <w:fldChar w:fldCharType="begin"/>
        </w:r>
        <w:r w:rsidRPr="004A517F">
          <w:rPr>
            <w:rStyle w:val="HeaderChar"/>
          </w:rPr>
          <w:instrText xml:space="preserve"> STYLEREF  "Heading 1"  \* MERGEFORMAT </w:instrText>
        </w:r>
        <w:r w:rsidRPr="004A517F">
          <w:rPr>
            <w:rStyle w:val="HeaderChar"/>
          </w:rPr>
          <w:fldChar w:fldCharType="separate"/>
        </w:r>
        <w:r w:rsidR="00811978">
          <w:rPr>
            <w:rStyle w:val="HeaderChar"/>
            <w:noProof/>
          </w:rPr>
          <w:t>Proficiency Level 3.  Apply</w:t>
        </w:r>
        <w:r w:rsidRPr="004A517F">
          <w:rPr>
            <w:rStyle w:val="HeaderChar"/>
          </w:rPr>
          <w:fldChar w:fldCharType="end"/>
        </w:r>
        <w:r>
          <w:rPr>
            <w:rStyle w:val="HeaderChar"/>
          </w:rPr>
          <w:tab/>
        </w:r>
        <w:r w:rsidRPr="00F40C86">
          <w:rPr>
            <w:rStyle w:val="PageNumber"/>
          </w:rPr>
          <w:fldChar w:fldCharType="begin"/>
        </w:r>
        <w:r w:rsidRPr="00F40C86">
          <w:rPr>
            <w:rStyle w:val="PageNumber"/>
          </w:rPr>
          <w:instrText xml:space="preserve"> PAGE </w:instrText>
        </w:r>
        <w:r w:rsidRPr="00F40C86">
          <w:rPr>
            <w:rStyle w:val="PageNumber"/>
          </w:rPr>
          <w:fldChar w:fldCharType="separate"/>
        </w:r>
        <w:r w:rsidR="00C41D3B">
          <w:rPr>
            <w:rStyle w:val="PageNumber"/>
          </w:rPr>
          <w:t>4</w:t>
        </w:r>
        <w:r w:rsidRPr="00F40C86">
          <w:rPr>
            <w:rStyle w:val="PageNumber"/>
          </w:rPr>
          <w:fldChar w:fldCharType="end"/>
        </w:r>
      </w:p>
      <w:p w14:paraId="20240FB8" w14:textId="77777777" w:rsidR="00310A51" w:rsidRPr="00DA5276" w:rsidRDefault="00811978" w:rsidP="00DA5276">
        <w:pPr>
          <w:pStyle w:val="Footer"/>
          <w:rPr>
            <w:sz w:val="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675A" w14:textId="77777777" w:rsidR="006148BE" w:rsidRPr="005560E0" w:rsidRDefault="006148BE" w:rsidP="0055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805B" w14:textId="77777777" w:rsidR="000E1752" w:rsidRDefault="000E1752">
      <w:r>
        <w:separator/>
      </w:r>
    </w:p>
  </w:footnote>
  <w:footnote w:type="continuationSeparator" w:id="0">
    <w:p w14:paraId="19E71DE1" w14:textId="77777777" w:rsidR="000E1752" w:rsidRDefault="000E1752">
      <w:r>
        <w:continuationSeparator/>
      </w:r>
    </w:p>
  </w:footnote>
  <w:footnote w:type="continuationNotice" w:id="1">
    <w:p w14:paraId="78C3F2E0" w14:textId="77777777" w:rsidR="000E1752" w:rsidRDefault="000E17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0049C96"/>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8334BC8"/>
    <w:multiLevelType w:val="hybridMultilevel"/>
    <w:tmpl w:val="F78A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76686"/>
    <w:multiLevelType w:val="hybridMultilevel"/>
    <w:tmpl w:val="38B85E5E"/>
    <w:lvl w:ilvl="0" w:tplc="12909B40">
      <w:start w:val="1"/>
      <w:numFmt w:val="bullet"/>
      <w:pStyle w:val="ListBullet"/>
      <w:lvlText w:val=""/>
      <w:lvlJc w:val="left"/>
      <w:pPr>
        <w:tabs>
          <w:tab w:val="num" w:pos="216"/>
        </w:tabs>
        <w:ind w:left="216" w:hanging="216"/>
      </w:pPr>
      <w:rPr>
        <w:rFonts w:ascii="Symbol" w:hAnsi="Symbol" w:hint="default"/>
      </w:rPr>
    </w:lvl>
    <w:lvl w:ilvl="1" w:tplc="F788BA18">
      <w:start w:val="1"/>
      <w:numFmt w:val="bullet"/>
      <w:lvlText w:val="–"/>
      <w:lvlJc w:val="left"/>
      <w:pPr>
        <w:tabs>
          <w:tab w:val="num" w:pos="576"/>
        </w:tabs>
        <w:ind w:left="576" w:hanging="360"/>
      </w:pPr>
      <w:rPr>
        <w:rFonts w:ascii="Arial" w:hAnsi="Arial" w:hint="default"/>
        <w:color w:val="auto"/>
        <w:u w:color="FFC000"/>
      </w:rPr>
    </w:lvl>
    <w:lvl w:ilvl="2" w:tplc="334A17DA">
      <w:start w:val="1"/>
      <w:numFmt w:val="bullet"/>
      <w:lvlText w:val="o"/>
      <w:lvlJc w:val="left"/>
      <w:pPr>
        <w:tabs>
          <w:tab w:val="num" w:pos="936"/>
        </w:tabs>
        <w:ind w:left="936" w:hanging="360"/>
      </w:pPr>
      <w:rPr>
        <w:rFonts w:ascii="Courier New" w:hAnsi="Courier New" w:hint="default"/>
      </w:rPr>
    </w:lvl>
    <w:lvl w:ilvl="3" w:tplc="78A6ED68">
      <w:start w:val="1"/>
      <w:numFmt w:val="bullet"/>
      <w:lvlText w:val=""/>
      <w:lvlJc w:val="left"/>
      <w:pPr>
        <w:tabs>
          <w:tab w:val="num" w:pos="1296"/>
        </w:tabs>
        <w:ind w:left="1296" w:hanging="360"/>
      </w:pPr>
      <w:rPr>
        <w:rFonts w:ascii="Wingdings" w:hAnsi="Wingdings"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16C65070"/>
    <w:multiLevelType w:val="hybridMultilevel"/>
    <w:tmpl w:val="5FE89F18"/>
    <w:lvl w:ilvl="0" w:tplc="F3CC58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64AB9"/>
    <w:multiLevelType w:val="hybridMultilevel"/>
    <w:tmpl w:val="B784E790"/>
    <w:lvl w:ilvl="0" w:tplc="1AD246F8">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D92E130">
      <w:numFmt w:val="bullet"/>
      <w:lvlText w:val="•"/>
      <w:lvlJc w:val="left"/>
      <w:pPr>
        <w:ind w:left="1085" w:hanging="324"/>
      </w:pPr>
      <w:rPr>
        <w:rFonts w:hint="default"/>
        <w:lang w:val="en-US" w:eastAsia="en-US" w:bidi="en-US"/>
      </w:rPr>
    </w:lvl>
    <w:lvl w:ilvl="2" w:tplc="9DC41274">
      <w:numFmt w:val="bullet"/>
      <w:lvlText w:val="•"/>
      <w:lvlJc w:val="left"/>
      <w:pPr>
        <w:ind w:left="1846" w:hanging="324"/>
      </w:pPr>
      <w:rPr>
        <w:rFonts w:hint="default"/>
        <w:lang w:val="en-US" w:eastAsia="en-US" w:bidi="en-US"/>
      </w:rPr>
    </w:lvl>
    <w:lvl w:ilvl="3" w:tplc="2A5A1F9C">
      <w:numFmt w:val="bullet"/>
      <w:lvlText w:val="•"/>
      <w:lvlJc w:val="left"/>
      <w:pPr>
        <w:ind w:left="2607" w:hanging="324"/>
      </w:pPr>
      <w:rPr>
        <w:rFonts w:hint="default"/>
        <w:lang w:val="en-US" w:eastAsia="en-US" w:bidi="en-US"/>
      </w:rPr>
    </w:lvl>
    <w:lvl w:ilvl="4" w:tplc="E878CC62">
      <w:numFmt w:val="bullet"/>
      <w:lvlText w:val="•"/>
      <w:lvlJc w:val="left"/>
      <w:pPr>
        <w:ind w:left="3368" w:hanging="324"/>
      </w:pPr>
      <w:rPr>
        <w:rFonts w:hint="default"/>
        <w:lang w:val="en-US" w:eastAsia="en-US" w:bidi="en-US"/>
      </w:rPr>
    </w:lvl>
    <w:lvl w:ilvl="5" w:tplc="50C29DA4">
      <w:numFmt w:val="bullet"/>
      <w:lvlText w:val="•"/>
      <w:lvlJc w:val="left"/>
      <w:pPr>
        <w:ind w:left="4130" w:hanging="324"/>
      </w:pPr>
      <w:rPr>
        <w:rFonts w:hint="default"/>
        <w:lang w:val="en-US" w:eastAsia="en-US" w:bidi="en-US"/>
      </w:rPr>
    </w:lvl>
    <w:lvl w:ilvl="6" w:tplc="2FB48370">
      <w:numFmt w:val="bullet"/>
      <w:lvlText w:val="•"/>
      <w:lvlJc w:val="left"/>
      <w:pPr>
        <w:ind w:left="4891" w:hanging="324"/>
      </w:pPr>
      <w:rPr>
        <w:rFonts w:hint="default"/>
        <w:lang w:val="en-US" w:eastAsia="en-US" w:bidi="en-US"/>
      </w:rPr>
    </w:lvl>
    <w:lvl w:ilvl="7" w:tplc="E0A00B60">
      <w:numFmt w:val="bullet"/>
      <w:lvlText w:val="•"/>
      <w:lvlJc w:val="left"/>
      <w:pPr>
        <w:ind w:left="5652" w:hanging="324"/>
      </w:pPr>
      <w:rPr>
        <w:rFonts w:hint="default"/>
        <w:lang w:val="en-US" w:eastAsia="en-US" w:bidi="en-US"/>
      </w:rPr>
    </w:lvl>
    <w:lvl w:ilvl="8" w:tplc="C0E49076">
      <w:numFmt w:val="bullet"/>
      <w:lvlText w:val="•"/>
      <w:lvlJc w:val="left"/>
      <w:pPr>
        <w:ind w:left="6413" w:hanging="324"/>
      </w:pPr>
      <w:rPr>
        <w:rFonts w:hint="default"/>
        <w:lang w:val="en-US" w:eastAsia="en-US" w:bidi="en-US"/>
      </w:rPr>
    </w:lvl>
  </w:abstractNum>
  <w:abstractNum w:abstractNumId="5" w15:restartNumberingAfterBreak="0">
    <w:nsid w:val="204E1A43"/>
    <w:multiLevelType w:val="hybridMultilevel"/>
    <w:tmpl w:val="4FA4B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586FCB"/>
    <w:multiLevelType w:val="hybridMultilevel"/>
    <w:tmpl w:val="958C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570E0"/>
    <w:multiLevelType w:val="hybridMultilevel"/>
    <w:tmpl w:val="40487208"/>
    <w:lvl w:ilvl="0" w:tplc="0BBA3C9E">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4E668D2">
      <w:numFmt w:val="bullet"/>
      <w:lvlText w:val="•"/>
      <w:lvlJc w:val="left"/>
      <w:pPr>
        <w:ind w:left="1085" w:hanging="324"/>
      </w:pPr>
      <w:rPr>
        <w:rFonts w:hint="default"/>
        <w:lang w:val="en-US" w:eastAsia="en-US" w:bidi="en-US"/>
      </w:rPr>
    </w:lvl>
    <w:lvl w:ilvl="2" w:tplc="C590E0EE">
      <w:numFmt w:val="bullet"/>
      <w:lvlText w:val="•"/>
      <w:lvlJc w:val="left"/>
      <w:pPr>
        <w:ind w:left="1842" w:hanging="324"/>
      </w:pPr>
      <w:rPr>
        <w:rFonts w:hint="default"/>
        <w:lang w:val="en-US" w:eastAsia="en-US" w:bidi="en-US"/>
      </w:rPr>
    </w:lvl>
    <w:lvl w:ilvl="3" w:tplc="94003B60">
      <w:numFmt w:val="bullet"/>
      <w:lvlText w:val="•"/>
      <w:lvlJc w:val="left"/>
      <w:pPr>
        <w:ind w:left="2599" w:hanging="324"/>
      </w:pPr>
      <w:rPr>
        <w:rFonts w:hint="default"/>
        <w:lang w:val="en-US" w:eastAsia="en-US" w:bidi="en-US"/>
      </w:rPr>
    </w:lvl>
    <w:lvl w:ilvl="4" w:tplc="55D2E934">
      <w:numFmt w:val="bullet"/>
      <w:lvlText w:val="•"/>
      <w:lvlJc w:val="left"/>
      <w:pPr>
        <w:ind w:left="3356" w:hanging="324"/>
      </w:pPr>
      <w:rPr>
        <w:rFonts w:hint="default"/>
        <w:lang w:val="en-US" w:eastAsia="en-US" w:bidi="en-US"/>
      </w:rPr>
    </w:lvl>
    <w:lvl w:ilvl="5" w:tplc="1166F18A">
      <w:numFmt w:val="bullet"/>
      <w:lvlText w:val="•"/>
      <w:lvlJc w:val="left"/>
      <w:pPr>
        <w:ind w:left="4114" w:hanging="324"/>
      </w:pPr>
      <w:rPr>
        <w:rFonts w:hint="default"/>
        <w:lang w:val="en-US" w:eastAsia="en-US" w:bidi="en-US"/>
      </w:rPr>
    </w:lvl>
    <w:lvl w:ilvl="6" w:tplc="DFF66798">
      <w:numFmt w:val="bullet"/>
      <w:lvlText w:val="•"/>
      <w:lvlJc w:val="left"/>
      <w:pPr>
        <w:ind w:left="4871" w:hanging="324"/>
      </w:pPr>
      <w:rPr>
        <w:rFonts w:hint="default"/>
        <w:lang w:val="en-US" w:eastAsia="en-US" w:bidi="en-US"/>
      </w:rPr>
    </w:lvl>
    <w:lvl w:ilvl="7" w:tplc="D2523C70">
      <w:numFmt w:val="bullet"/>
      <w:lvlText w:val="•"/>
      <w:lvlJc w:val="left"/>
      <w:pPr>
        <w:ind w:left="5628" w:hanging="324"/>
      </w:pPr>
      <w:rPr>
        <w:rFonts w:hint="default"/>
        <w:lang w:val="en-US" w:eastAsia="en-US" w:bidi="en-US"/>
      </w:rPr>
    </w:lvl>
    <w:lvl w:ilvl="8" w:tplc="29449DD2">
      <w:numFmt w:val="bullet"/>
      <w:lvlText w:val="•"/>
      <w:lvlJc w:val="left"/>
      <w:pPr>
        <w:ind w:left="6385" w:hanging="324"/>
      </w:pPr>
      <w:rPr>
        <w:rFonts w:hint="default"/>
        <w:lang w:val="en-US" w:eastAsia="en-US" w:bidi="en-US"/>
      </w:rPr>
    </w:lvl>
  </w:abstractNum>
  <w:abstractNum w:abstractNumId="8" w15:restartNumberingAfterBreak="0">
    <w:nsid w:val="2A3458DB"/>
    <w:multiLevelType w:val="hybridMultilevel"/>
    <w:tmpl w:val="1C16BE3A"/>
    <w:lvl w:ilvl="0" w:tplc="42E824A0">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7A4E9858">
      <w:numFmt w:val="bullet"/>
      <w:lvlText w:val="•"/>
      <w:lvlJc w:val="left"/>
      <w:pPr>
        <w:ind w:left="1085" w:hanging="324"/>
      </w:pPr>
      <w:rPr>
        <w:rFonts w:hint="default"/>
        <w:lang w:val="en-US" w:eastAsia="en-US" w:bidi="en-US"/>
      </w:rPr>
    </w:lvl>
    <w:lvl w:ilvl="2" w:tplc="F3AA431A">
      <w:numFmt w:val="bullet"/>
      <w:lvlText w:val="•"/>
      <w:lvlJc w:val="left"/>
      <w:pPr>
        <w:ind w:left="1842" w:hanging="324"/>
      </w:pPr>
      <w:rPr>
        <w:rFonts w:hint="default"/>
        <w:lang w:val="en-US" w:eastAsia="en-US" w:bidi="en-US"/>
      </w:rPr>
    </w:lvl>
    <w:lvl w:ilvl="3" w:tplc="A3E042BE">
      <w:numFmt w:val="bullet"/>
      <w:lvlText w:val="•"/>
      <w:lvlJc w:val="left"/>
      <w:pPr>
        <w:ind w:left="2599" w:hanging="324"/>
      </w:pPr>
      <w:rPr>
        <w:rFonts w:hint="default"/>
        <w:lang w:val="en-US" w:eastAsia="en-US" w:bidi="en-US"/>
      </w:rPr>
    </w:lvl>
    <w:lvl w:ilvl="4" w:tplc="DA6E27B2">
      <w:numFmt w:val="bullet"/>
      <w:lvlText w:val="•"/>
      <w:lvlJc w:val="left"/>
      <w:pPr>
        <w:ind w:left="3356" w:hanging="324"/>
      </w:pPr>
      <w:rPr>
        <w:rFonts w:hint="default"/>
        <w:lang w:val="en-US" w:eastAsia="en-US" w:bidi="en-US"/>
      </w:rPr>
    </w:lvl>
    <w:lvl w:ilvl="5" w:tplc="3AA404DE">
      <w:numFmt w:val="bullet"/>
      <w:lvlText w:val="•"/>
      <w:lvlJc w:val="left"/>
      <w:pPr>
        <w:ind w:left="4114" w:hanging="324"/>
      </w:pPr>
      <w:rPr>
        <w:rFonts w:hint="default"/>
        <w:lang w:val="en-US" w:eastAsia="en-US" w:bidi="en-US"/>
      </w:rPr>
    </w:lvl>
    <w:lvl w:ilvl="6" w:tplc="1A6AC89C">
      <w:numFmt w:val="bullet"/>
      <w:lvlText w:val="•"/>
      <w:lvlJc w:val="left"/>
      <w:pPr>
        <w:ind w:left="4871" w:hanging="324"/>
      </w:pPr>
      <w:rPr>
        <w:rFonts w:hint="default"/>
        <w:lang w:val="en-US" w:eastAsia="en-US" w:bidi="en-US"/>
      </w:rPr>
    </w:lvl>
    <w:lvl w:ilvl="7" w:tplc="A8A8C6F4">
      <w:numFmt w:val="bullet"/>
      <w:lvlText w:val="•"/>
      <w:lvlJc w:val="left"/>
      <w:pPr>
        <w:ind w:left="5628" w:hanging="324"/>
      </w:pPr>
      <w:rPr>
        <w:rFonts w:hint="default"/>
        <w:lang w:val="en-US" w:eastAsia="en-US" w:bidi="en-US"/>
      </w:rPr>
    </w:lvl>
    <w:lvl w:ilvl="8" w:tplc="F9A6E6AC">
      <w:numFmt w:val="bullet"/>
      <w:lvlText w:val="•"/>
      <w:lvlJc w:val="left"/>
      <w:pPr>
        <w:ind w:left="6385" w:hanging="324"/>
      </w:pPr>
      <w:rPr>
        <w:rFonts w:hint="default"/>
        <w:lang w:val="en-US" w:eastAsia="en-US" w:bidi="en-US"/>
      </w:rPr>
    </w:lvl>
  </w:abstractNum>
  <w:abstractNum w:abstractNumId="9" w15:restartNumberingAfterBreak="0">
    <w:nsid w:val="2BFE6B59"/>
    <w:multiLevelType w:val="multilevel"/>
    <w:tmpl w:val="EBD88498"/>
    <w:lvl w:ilvl="0">
      <w:start w:val="1"/>
      <w:numFmt w:val="decimal"/>
      <w:lvlText w:val="%1.0"/>
      <w:lvlJc w:val="left"/>
      <w:pPr>
        <w:tabs>
          <w:tab w:val="num" w:pos="720"/>
        </w:tabs>
        <w:ind w:left="720" w:hanging="720"/>
      </w:pPr>
      <w:rPr>
        <w:rFonts w:asciiTheme="majorHAnsi" w:hAnsiTheme="majorHAnsi" w:cs="Arial" w:hint="default"/>
        <w:b/>
        <w:i w:val="0"/>
        <w:caps w:val="0"/>
        <w:strike w:val="0"/>
        <w:dstrike w:val="0"/>
        <w:vanish w:val="0"/>
        <w:color w:val="D57500" w:themeColor="text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648" w:hanging="648"/>
      </w:pPr>
      <w:rPr>
        <w:rFonts w:asciiTheme="majorHAnsi" w:hAnsiTheme="majorHAnsi" w:cs="Arial" w:hint="default"/>
        <w:b/>
        <w:i w:val="0"/>
        <w:color w:val="D57500" w:themeColor="text2"/>
        <w:sz w:val="28"/>
      </w:rPr>
    </w:lvl>
    <w:lvl w:ilvl="2">
      <w:start w:val="1"/>
      <w:numFmt w:val="decimal"/>
      <w:lvlText w:val="%1.%2.%3"/>
      <w:lvlJc w:val="left"/>
      <w:pPr>
        <w:tabs>
          <w:tab w:val="num" w:pos="936"/>
        </w:tabs>
        <w:ind w:left="936" w:hanging="936"/>
      </w:pPr>
      <w:rPr>
        <w:rFonts w:asciiTheme="majorHAnsi" w:hAnsiTheme="majorHAnsi" w:cs="Arial" w:hint="default"/>
        <w:b/>
        <w:i w:val="0"/>
        <w:color w:val="D57500" w:themeColor="text2"/>
        <w:sz w:val="24"/>
      </w:rPr>
    </w:lvl>
    <w:lvl w:ilvl="3">
      <w:start w:val="1"/>
      <w:numFmt w:val="decimal"/>
      <w:lvlText w:val="%1.%2.%3.%4"/>
      <w:lvlJc w:val="left"/>
      <w:pPr>
        <w:tabs>
          <w:tab w:val="num" w:pos="1037"/>
        </w:tabs>
        <w:ind w:left="1037" w:hanging="1037"/>
      </w:pPr>
      <w:rPr>
        <w:rFonts w:asciiTheme="majorHAnsi" w:hAnsiTheme="majorHAnsi" w:cs="Arial" w:hint="default"/>
        <w:b/>
        <w:i w:val="0"/>
        <w:color w:val="D57500" w:themeColor="text2"/>
        <w:sz w:val="22"/>
      </w:rPr>
    </w:lvl>
    <w:lvl w:ilvl="4">
      <w:start w:val="1"/>
      <w:numFmt w:val="none"/>
      <w:suff w:val="nothing"/>
      <w:lvlText w:val=""/>
      <w:lvlJc w:val="left"/>
      <w:pPr>
        <w:ind w:left="0" w:firstLine="0"/>
      </w:pPr>
      <w:rPr>
        <w:rFonts w:ascii="Arial" w:hAnsi="Arial" w:cs="Arial" w:hint="default"/>
        <w:b/>
        <w:i w:val="0"/>
        <w:color w:val="auto"/>
        <w:sz w:val="22"/>
      </w:rPr>
    </w:lvl>
    <w:lvl w:ilvl="5">
      <w:start w:val="1"/>
      <w:numFmt w:val="upperLetter"/>
      <w:pStyle w:val="Heading6"/>
      <w:suff w:val="space"/>
      <w:lvlText w:val="Appendix %6"/>
      <w:lvlJc w:val="left"/>
      <w:pPr>
        <w:ind w:left="0" w:firstLine="0"/>
      </w:pPr>
      <w:rPr>
        <w:rFonts w:asciiTheme="majorHAnsi" w:hAnsiTheme="majorHAnsi" w:cs="Arial" w:hint="default"/>
        <w:b/>
        <w:i w:val="0"/>
        <w:color w:val="D57500" w:themeColor="text2"/>
        <w:sz w:val="32"/>
        <w:szCs w:val="32"/>
      </w:rPr>
    </w:lvl>
    <w:lvl w:ilvl="6">
      <w:start w:val="1"/>
      <w:numFmt w:val="decimal"/>
      <w:lvlText w:val="%6.%7"/>
      <w:lvlJc w:val="left"/>
      <w:pPr>
        <w:tabs>
          <w:tab w:val="num" w:pos="648"/>
        </w:tabs>
        <w:ind w:left="648" w:hanging="648"/>
      </w:pPr>
      <w:rPr>
        <w:rFonts w:asciiTheme="majorHAnsi" w:hAnsiTheme="majorHAnsi" w:cs="Arial" w:hint="default"/>
        <w:b/>
        <w:i w:val="0"/>
        <w:color w:val="D57500" w:themeColor="text2"/>
        <w:sz w:val="28"/>
        <w:szCs w:val="28"/>
      </w:rPr>
    </w:lvl>
    <w:lvl w:ilvl="7">
      <w:start w:val="1"/>
      <w:numFmt w:val="decimal"/>
      <w:lvlText w:val="%6.%7.%8"/>
      <w:lvlJc w:val="left"/>
      <w:pPr>
        <w:tabs>
          <w:tab w:val="num" w:pos="936"/>
        </w:tabs>
        <w:ind w:left="936" w:hanging="936"/>
      </w:pPr>
      <w:rPr>
        <w:rFonts w:asciiTheme="majorHAnsi" w:hAnsiTheme="majorHAnsi" w:cs="Arial" w:hint="default"/>
        <w:b/>
        <w:bCs w:val="0"/>
        <w:i w:val="0"/>
        <w:iCs w:val="0"/>
        <w:caps w:val="0"/>
        <w:smallCaps w:val="0"/>
        <w:strike w:val="0"/>
        <w:dstrike w:val="0"/>
        <w:noProof w:val="0"/>
        <w:snapToGrid w:val="0"/>
        <w:vanish w:val="0"/>
        <w:color w:val="D57500" w:themeColor="text2"/>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6.%7.%8.%9"/>
      <w:lvlJc w:val="left"/>
      <w:pPr>
        <w:tabs>
          <w:tab w:val="num" w:pos="1037"/>
        </w:tabs>
        <w:ind w:left="1037" w:hanging="1037"/>
      </w:pPr>
      <w:rPr>
        <w:rFonts w:asciiTheme="majorHAnsi" w:hAnsiTheme="majorHAnsi" w:cs="Arial" w:hint="default"/>
        <w:b/>
        <w:i w:val="0"/>
        <w:color w:val="D57500" w:themeColor="text2"/>
        <w:sz w:val="22"/>
        <w:szCs w:val="22"/>
      </w:rPr>
    </w:lvl>
  </w:abstractNum>
  <w:abstractNum w:abstractNumId="10" w15:restartNumberingAfterBreak="0">
    <w:nsid w:val="303633F9"/>
    <w:multiLevelType w:val="hybridMultilevel"/>
    <w:tmpl w:val="394689C2"/>
    <w:lvl w:ilvl="0" w:tplc="5ABEA1DC">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AFCAD70">
      <w:numFmt w:val="bullet"/>
      <w:lvlText w:val="•"/>
      <w:lvlJc w:val="left"/>
      <w:pPr>
        <w:ind w:left="1085" w:hanging="324"/>
      </w:pPr>
      <w:rPr>
        <w:rFonts w:hint="default"/>
        <w:lang w:val="en-US" w:eastAsia="en-US" w:bidi="en-US"/>
      </w:rPr>
    </w:lvl>
    <w:lvl w:ilvl="2" w:tplc="3C74818C">
      <w:numFmt w:val="bullet"/>
      <w:lvlText w:val="•"/>
      <w:lvlJc w:val="left"/>
      <w:pPr>
        <w:ind w:left="1842" w:hanging="324"/>
      </w:pPr>
      <w:rPr>
        <w:rFonts w:hint="default"/>
        <w:lang w:val="en-US" w:eastAsia="en-US" w:bidi="en-US"/>
      </w:rPr>
    </w:lvl>
    <w:lvl w:ilvl="3" w:tplc="47CCDE42">
      <w:numFmt w:val="bullet"/>
      <w:lvlText w:val="•"/>
      <w:lvlJc w:val="left"/>
      <w:pPr>
        <w:ind w:left="2599" w:hanging="324"/>
      </w:pPr>
      <w:rPr>
        <w:rFonts w:hint="default"/>
        <w:lang w:val="en-US" w:eastAsia="en-US" w:bidi="en-US"/>
      </w:rPr>
    </w:lvl>
    <w:lvl w:ilvl="4" w:tplc="2A0A4016">
      <w:numFmt w:val="bullet"/>
      <w:lvlText w:val="•"/>
      <w:lvlJc w:val="left"/>
      <w:pPr>
        <w:ind w:left="3356" w:hanging="324"/>
      </w:pPr>
      <w:rPr>
        <w:rFonts w:hint="default"/>
        <w:lang w:val="en-US" w:eastAsia="en-US" w:bidi="en-US"/>
      </w:rPr>
    </w:lvl>
    <w:lvl w:ilvl="5" w:tplc="137E2C12">
      <w:numFmt w:val="bullet"/>
      <w:lvlText w:val="•"/>
      <w:lvlJc w:val="left"/>
      <w:pPr>
        <w:ind w:left="4114" w:hanging="324"/>
      </w:pPr>
      <w:rPr>
        <w:rFonts w:hint="default"/>
        <w:lang w:val="en-US" w:eastAsia="en-US" w:bidi="en-US"/>
      </w:rPr>
    </w:lvl>
    <w:lvl w:ilvl="6" w:tplc="FDA40C3E">
      <w:numFmt w:val="bullet"/>
      <w:lvlText w:val="•"/>
      <w:lvlJc w:val="left"/>
      <w:pPr>
        <w:ind w:left="4871" w:hanging="324"/>
      </w:pPr>
      <w:rPr>
        <w:rFonts w:hint="default"/>
        <w:lang w:val="en-US" w:eastAsia="en-US" w:bidi="en-US"/>
      </w:rPr>
    </w:lvl>
    <w:lvl w:ilvl="7" w:tplc="2C42507E">
      <w:numFmt w:val="bullet"/>
      <w:lvlText w:val="•"/>
      <w:lvlJc w:val="left"/>
      <w:pPr>
        <w:ind w:left="5628" w:hanging="324"/>
      </w:pPr>
      <w:rPr>
        <w:rFonts w:hint="default"/>
        <w:lang w:val="en-US" w:eastAsia="en-US" w:bidi="en-US"/>
      </w:rPr>
    </w:lvl>
    <w:lvl w:ilvl="8" w:tplc="4C966AE6">
      <w:numFmt w:val="bullet"/>
      <w:lvlText w:val="•"/>
      <w:lvlJc w:val="left"/>
      <w:pPr>
        <w:ind w:left="6385" w:hanging="324"/>
      </w:pPr>
      <w:rPr>
        <w:rFonts w:hint="default"/>
        <w:lang w:val="en-US" w:eastAsia="en-US" w:bidi="en-US"/>
      </w:rPr>
    </w:lvl>
  </w:abstractNum>
  <w:abstractNum w:abstractNumId="11" w15:restartNumberingAfterBreak="0">
    <w:nsid w:val="305D25F7"/>
    <w:multiLevelType w:val="multilevel"/>
    <w:tmpl w:val="68E8E47A"/>
    <w:lvl w:ilvl="0">
      <w:start w:val="1"/>
      <w:numFmt w:val="decimal"/>
      <w:pStyle w:val="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0B24C07"/>
    <w:multiLevelType w:val="hybridMultilevel"/>
    <w:tmpl w:val="EC9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E02CB"/>
    <w:multiLevelType w:val="hybridMultilevel"/>
    <w:tmpl w:val="0354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500E0"/>
    <w:multiLevelType w:val="multilevel"/>
    <w:tmpl w:val="4F7A4F66"/>
    <w:lvl w:ilvl="0">
      <w:start w:val="1"/>
      <w:numFmt w:val="lowerLetter"/>
      <w:pStyle w:val="ListLetter"/>
      <w:lvlText w:val="%1."/>
      <w:lvlJc w:val="left"/>
      <w:pPr>
        <w:tabs>
          <w:tab w:val="num" w:pos="792"/>
        </w:tabs>
        <w:ind w:left="720" w:hanging="288"/>
      </w:pPr>
      <w:rPr>
        <w:rFonts w:hint="default"/>
      </w:rPr>
    </w:lvl>
    <w:lvl w:ilvl="1">
      <w:start w:val="1"/>
      <w:numFmt w:val="decimal"/>
      <w:lvlText w:val="%1.%2"/>
      <w:lvlJc w:val="left"/>
      <w:pPr>
        <w:tabs>
          <w:tab w:val="num" w:pos="648"/>
        </w:tabs>
        <w:ind w:left="648" w:hanging="648"/>
      </w:pPr>
      <w:rPr>
        <w:rFonts w:ascii="Times New Roman" w:hAnsi="Times New Roman" w:hint="default"/>
        <w:b/>
        <w:i w:val="0"/>
        <w:sz w:val="28"/>
      </w:rPr>
    </w:lvl>
    <w:lvl w:ilvl="2">
      <w:start w:val="1"/>
      <w:numFmt w:val="decimal"/>
      <w:lvlText w:val="%1.%2.%3"/>
      <w:lvlJc w:val="left"/>
      <w:pPr>
        <w:tabs>
          <w:tab w:val="num" w:pos="734"/>
        </w:tabs>
        <w:ind w:left="734" w:hanging="734"/>
      </w:pPr>
      <w:rPr>
        <w:rFonts w:ascii="Times New Roman" w:hAnsi="Times New Roman" w:hint="default"/>
        <w:b/>
        <w:i w:val="0"/>
        <w:sz w:val="24"/>
      </w:rPr>
    </w:lvl>
    <w:lvl w:ilvl="3">
      <w:start w:val="1"/>
      <w:numFmt w:val="decimal"/>
      <w:lvlText w:val="%1.%2.%3.%4"/>
      <w:lvlJc w:val="left"/>
      <w:pPr>
        <w:tabs>
          <w:tab w:val="num" w:pos="1210"/>
        </w:tabs>
        <w:ind w:left="1210" w:hanging="850"/>
      </w:pPr>
      <w:rPr>
        <w:rFonts w:ascii="Times New Roman" w:hAnsi="Times New Roman" w:hint="default"/>
        <w:b/>
        <w:i w:val="0"/>
        <w:sz w:val="22"/>
      </w:rPr>
    </w:lvl>
    <w:lvl w:ilvl="4">
      <w:start w:val="1"/>
      <w:numFmt w:val="decimal"/>
      <w:lvlText w:val="%1.%2.%3.%4.%5"/>
      <w:lvlJc w:val="left"/>
      <w:pPr>
        <w:tabs>
          <w:tab w:val="num" w:pos="1382"/>
        </w:tabs>
        <w:ind w:left="1382" w:hanging="1022"/>
      </w:pPr>
      <w:rPr>
        <w:rFonts w:ascii="Times New Roman" w:hAnsi="Times New Roman" w:hint="default"/>
        <w:b/>
        <w:i w:val="0"/>
        <w:sz w:val="22"/>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3B4C089A"/>
    <w:multiLevelType w:val="hybridMultilevel"/>
    <w:tmpl w:val="9A3C8EEE"/>
    <w:lvl w:ilvl="0" w:tplc="0409000F">
      <w:start w:val="1"/>
      <w:numFmt w:val="decimal"/>
      <w:pStyle w:val="ListParagraph"/>
      <w:lvlText w:val="%1."/>
      <w:lvlJc w:val="left"/>
      <w:pPr>
        <w:ind w:left="720" w:hanging="360"/>
      </w:pPr>
      <w:rPr>
        <w:rFonts w:hint="default"/>
      </w:rPr>
    </w:lvl>
    <w:lvl w:ilvl="1" w:tplc="F788BA18">
      <w:start w:val="1"/>
      <w:numFmt w:val="bullet"/>
      <w:lvlText w:val="–"/>
      <w:lvlJc w:val="left"/>
      <w:pPr>
        <w:ind w:left="1440" w:hanging="360"/>
      </w:pPr>
      <w:rPr>
        <w:rFonts w:ascii="Arial" w:hAnsi="Arial" w:hint="default"/>
        <w:color w:val="auto"/>
        <w:u w:color="FFC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B24AD"/>
    <w:multiLevelType w:val="hybridMultilevel"/>
    <w:tmpl w:val="80D016E6"/>
    <w:lvl w:ilvl="0" w:tplc="A664E5E8">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C0FA3"/>
    <w:multiLevelType w:val="hybridMultilevel"/>
    <w:tmpl w:val="4B9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13FC"/>
    <w:multiLevelType w:val="hybridMultilevel"/>
    <w:tmpl w:val="9F1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942EC"/>
    <w:multiLevelType w:val="hybridMultilevel"/>
    <w:tmpl w:val="0F34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47577"/>
    <w:multiLevelType w:val="hybridMultilevel"/>
    <w:tmpl w:val="36E8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96D7B"/>
    <w:multiLevelType w:val="hybridMultilevel"/>
    <w:tmpl w:val="024E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07F33"/>
    <w:multiLevelType w:val="hybridMultilevel"/>
    <w:tmpl w:val="440E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D753C4"/>
    <w:multiLevelType w:val="multilevel"/>
    <w:tmpl w:val="942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1E6"/>
    <w:multiLevelType w:val="hybridMultilevel"/>
    <w:tmpl w:val="C43AA0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7D58703B"/>
    <w:multiLevelType w:val="multilevel"/>
    <w:tmpl w:val="BAEC9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11"/>
  </w:num>
  <w:num w:numId="3">
    <w:abstractNumId w:val="2"/>
  </w:num>
  <w:num w:numId="4">
    <w:abstractNumId w:val="0"/>
  </w:num>
  <w:num w:numId="5">
    <w:abstractNumId w:val="16"/>
  </w:num>
  <w:num w:numId="6">
    <w:abstractNumId w:val="14"/>
  </w:num>
  <w:num w:numId="7">
    <w:abstractNumId w:val="3"/>
  </w:num>
  <w:num w:numId="8">
    <w:abstractNumId w:val="15"/>
  </w:num>
  <w:num w:numId="9">
    <w:abstractNumId w:val="19"/>
  </w:num>
  <w:num w:numId="10">
    <w:abstractNumId w:val="6"/>
  </w:num>
  <w:num w:numId="11">
    <w:abstractNumId w:val="7"/>
  </w:num>
  <w:num w:numId="12">
    <w:abstractNumId w:val="4"/>
  </w:num>
  <w:num w:numId="13">
    <w:abstractNumId w:val="10"/>
  </w:num>
  <w:num w:numId="14">
    <w:abstractNumId w:val="8"/>
  </w:num>
  <w:num w:numId="15">
    <w:abstractNumId w:val="20"/>
  </w:num>
  <w:num w:numId="16">
    <w:abstractNumId w:val="13"/>
  </w:num>
  <w:num w:numId="17">
    <w:abstractNumId w:val="18"/>
  </w:num>
  <w:num w:numId="18">
    <w:abstractNumId w:val="12"/>
  </w:num>
  <w:num w:numId="19">
    <w:abstractNumId w:val="17"/>
  </w:num>
  <w:num w:numId="20">
    <w:abstractNumId w:val="25"/>
  </w:num>
  <w:num w:numId="21">
    <w:abstractNumId w:val="22"/>
  </w:num>
  <w:num w:numId="22">
    <w:abstractNumId w:val="5"/>
  </w:num>
  <w:num w:numId="23">
    <w:abstractNumId w:val="1"/>
  </w:num>
  <w:num w:numId="24">
    <w:abstractNumId w:val="24"/>
  </w:num>
  <w:num w:numId="25">
    <w:abstractNumId w:val="21"/>
  </w:num>
  <w:num w:numId="2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attachedTemplate r:id="rId1"/>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720"/>
  <w:clickAndTypeStyle w:val="BodyText"/>
  <w:characterSpacingControl w:val="doNotCompress"/>
  <w:hdrShapeDefaults>
    <o:shapedefaults v:ext="edit" spidmax="6145">
      <o:colormru v:ext="edit" colors="#d47827"/>
    </o:shapedefaults>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1Mje1NDY0MDA0tjBX0lEKTi0uzszPAykwNKsFADcSPZQtAAAA"/>
  </w:docVars>
  <w:rsids>
    <w:rsidRoot w:val="000B2EE8"/>
    <w:rsid w:val="00001ACE"/>
    <w:rsid w:val="00002695"/>
    <w:rsid w:val="00002F16"/>
    <w:rsid w:val="00003644"/>
    <w:rsid w:val="00003D03"/>
    <w:rsid w:val="00004205"/>
    <w:rsid w:val="0000436E"/>
    <w:rsid w:val="000045AB"/>
    <w:rsid w:val="0000537E"/>
    <w:rsid w:val="00005C16"/>
    <w:rsid w:val="000071B8"/>
    <w:rsid w:val="000132F0"/>
    <w:rsid w:val="00013D06"/>
    <w:rsid w:val="00017DCA"/>
    <w:rsid w:val="00020FA8"/>
    <w:rsid w:val="000223B7"/>
    <w:rsid w:val="000227D8"/>
    <w:rsid w:val="00022A91"/>
    <w:rsid w:val="00022C41"/>
    <w:rsid w:val="000241BF"/>
    <w:rsid w:val="00024C93"/>
    <w:rsid w:val="0002656F"/>
    <w:rsid w:val="000273BB"/>
    <w:rsid w:val="000279E2"/>
    <w:rsid w:val="00030AB0"/>
    <w:rsid w:val="000315FA"/>
    <w:rsid w:val="00032164"/>
    <w:rsid w:val="000335FF"/>
    <w:rsid w:val="00033754"/>
    <w:rsid w:val="00033796"/>
    <w:rsid w:val="00033D54"/>
    <w:rsid w:val="00034896"/>
    <w:rsid w:val="00034DFF"/>
    <w:rsid w:val="00037025"/>
    <w:rsid w:val="00037221"/>
    <w:rsid w:val="00040136"/>
    <w:rsid w:val="000402EC"/>
    <w:rsid w:val="00041769"/>
    <w:rsid w:val="000418E4"/>
    <w:rsid w:val="00041B1E"/>
    <w:rsid w:val="00041BB4"/>
    <w:rsid w:val="000424FF"/>
    <w:rsid w:val="0004291C"/>
    <w:rsid w:val="00044DE4"/>
    <w:rsid w:val="0004563C"/>
    <w:rsid w:val="00045847"/>
    <w:rsid w:val="000470D8"/>
    <w:rsid w:val="00047130"/>
    <w:rsid w:val="00050514"/>
    <w:rsid w:val="000506D4"/>
    <w:rsid w:val="00050769"/>
    <w:rsid w:val="00050E64"/>
    <w:rsid w:val="0005205A"/>
    <w:rsid w:val="0005395C"/>
    <w:rsid w:val="00056632"/>
    <w:rsid w:val="000567C9"/>
    <w:rsid w:val="00060776"/>
    <w:rsid w:val="00061198"/>
    <w:rsid w:val="00061E53"/>
    <w:rsid w:val="00062264"/>
    <w:rsid w:val="00063098"/>
    <w:rsid w:val="000636FE"/>
    <w:rsid w:val="00063761"/>
    <w:rsid w:val="00064797"/>
    <w:rsid w:val="00064FAC"/>
    <w:rsid w:val="00065369"/>
    <w:rsid w:val="00065379"/>
    <w:rsid w:val="000656A6"/>
    <w:rsid w:val="00065BFF"/>
    <w:rsid w:val="00065DA2"/>
    <w:rsid w:val="00067698"/>
    <w:rsid w:val="00067E4E"/>
    <w:rsid w:val="00071576"/>
    <w:rsid w:val="00072062"/>
    <w:rsid w:val="00072553"/>
    <w:rsid w:val="00072D1C"/>
    <w:rsid w:val="00073F64"/>
    <w:rsid w:val="00073FE7"/>
    <w:rsid w:val="00075691"/>
    <w:rsid w:val="00076D0A"/>
    <w:rsid w:val="000775D9"/>
    <w:rsid w:val="00081040"/>
    <w:rsid w:val="00083726"/>
    <w:rsid w:val="000839B1"/>
    <w:rsid w:val="00086183"/>
    <w:rsid w:val="00087BEC"/>
    <w:rsid w:val="000909B8"/>
    <w:rsid w:val="00090A64"/>
    <w:rsid w:val="00091446"/>
    <w:rsid w:val="000914BF"/>
    <w:rsid w:val="00091B47"/>
    <w:rsid w:val="00095852"/>
    <w:rsid w:val="00095DEF"/>
    <w:rsid w:val="0009672E"/>
    <w:rsid w:val="0009738C"/>
    <w:rsid w:val="00097898"/>
    <w:rsid w:val="000A0897"/>
    <w:rsid w:val="000A15D5"/>
    <w:rsid w:val="000A2BA8"/>
    <w:rsid w:val="000A2EE6"/>
    <w:rsid w:val="000A3DED"/>
    <w:rsid w:val="000A3F78"/>
    <w:rsid w:val="000A41D1"/>
    <w:rsid w:val="000A5FD7"/>
    <w:rsid w:val="000A6321"/>
    <w:rsid w:val="000A647E"/>
    <w:rsid w:val="000B0532"/>
    <w:rsid w:val="000B232D"/>
    <w:rsid w:val="000B2EE8"/>
    <w:rsid w:val="000B3604"/>
    <w:rsid w:val="000B41FD"/>
    <w:rsid w:val="000B4A17"/>
    <w:rsid w:val="000B5B0C"/>
    <w:rsid w:val="000B5B3A"/>
    <w:rsid w:val="000B7612"/>
    <w:rsid w:val="000B7EB9"/>
    <w:rsid w:val="000C1C47"/>
    <w:rsid w:val="000C4906"/>
    <w:rsid w:val="000C6B9A"/>
    <w:rsid w:val="000D1A01"/>
    <w:rsid w:val="000D1F9E"/>
    <w:rsid w:val="000D3092"/>
    <w:rsid w:val="000D368F"/>
    <w:rsid w:val="000D36F7"/>
    <w:rsid w:val="000D431F"/>
    <w:rsid w:val="000E0FD9"/>
    <w:rsid w:val="000E107A"/>
    <w:rsid w:val="000E1752"/>
    <w:rsid w:val="000E1BCC"/>
    <w:rsid w:val="000E268D"/>
    <w:rsid w:val="000E2E38"/>
    <w:rsid w:val="000E42C2"/>
    <w:rsid w:val="000E6880"/>
    <w:rsid w:val="000E6C5B"/>
    <w:rsid w:val="000E7E85"/>
    <w:rsid w:val="000E7EB7"/>
    <w:rsid w:val="000F0966"/>
    <w:rsid w:val="000F09C6"/>
    <w:rsid w:val="000F195A"/>
    <w:rsid w:val="000F1D2B"/>
    <w:rsid w:val="000F2096"/>
    <w:rsid w:val="000F395C"/>
    <w:rsid w:val="000F427F"/>
    <w:rsid w:val="000F4879"/>
    <w:rsid w:val="000F5A2D"/>
    <w:rsid w:val="0010023C"/>
    <w:rsid w:val="00100685"/>
    <w:rsid w:val="001009B7"/>
    <w:rsid w:val="00102D3F"/>
    <w:rsid w:val="00103452"/>
    <w:rsid w:val="00104FA1"/>
    <w:rsid w:val="00105D47"/>
    <w:rsid w:val="00105D88"/>
    <w:rsid w:val="0010631F"/>
    <w:rsid w:val="0010647C"/>
    <w:rsid w:val="001065D3"/>
    <w:rsid w:val="00106B8F"/>
    <w:rsid w:val="001073C8"/>
    <w:rsid w:val="0010770A"/>
    <w:rsid w:val="00110491"/>
    <w:rsid w:val="0011101A"/>
    <w:rsid w:val="001124C7"/>
    <w:rsid w:val="001137AF"/>
    <w:rsid w:val="00113EA5"/>
    <w:rsid w:val="00113FF1"/>
    <w:rsid w:val="0011743E"/>
    <w:rsid w:val="001177D3"/>
    <w:rsid w:val="001179B4"/>
    <w:rsid w:val="001214F3"/>
    <w:rsid w:val="001225D6"/>
    <w:rsid w:val="0012308B"/>
    <w:rsid w:val="00123D83"/>
    <w:rsid w:val="001259E8"/>
    <w:rsid w:val="00126710"/>
    <w:rsid w:val="00127B07"/>
    <w:rsid w:val="0013143E"/>
    <w:rsid w:val="0013145F"/>
    <w:rsid w:val="00132E6B"/>
    <w:rsid w:val="001333A8"/>
    <w:rsid w:val="00134E20"/>
    <w:rsid w:val="00135DD2"/>
    <w:rsid w:val="001360A4"/>
    <w:rsid w:val="00140A93"/>
    <w:rsid w:val="001426C0"/>
    <w:rsid w:val="0014359F"/>
    <w:rsid w:val="00144066"/>
    <w:rsid w:val="001447E7"/>
    <w:rsid w:val="0014564D"/>
    <w:rsid w:val="0014603A"/>
    <w:rsid w:val="00146897"/>
    <w:rsid w:val="00150EEC"/>
    <w:rsid w:val="00151375"/>
    <w:rsid w:val="00151762"/>
    <w:rsid w:val="001518DD"/>
    <w:rsid w:val="00154E10"/>
    <w:rsid w:val="00155352"/>
    <w:rsid w:val="001570ED"/>
    <w:rsid w:val="00157AA3"/>
    <w:rsid w:val="001602EF"/>
    <w:rsid w:val="00160931"/>
    <w:rsid w:val="0016152D"/>
    <w:rsid w:val="001630AA"/>
    <w:rsid w:val="001630F2"/>
    <w:rsid w:val="00163A11"/>
    <w:rsid w:val="0016653E"/>
    <w:rsid w:val="00166F30"/>
    <w:rsid w:val="00170944"/>
    <w:rsid w:val="00171917"/>
    <w:rsid w:val="00171F9A"/>
    <w:rsid w:val="001728A5"/>
    <w:rsid w:val="001733B8"/>
    <w:rsid w:val="00174A00"/>
    <w:rsid w:val="00175184"/>
    <w:rsid w:val="001757A4"/>
    <w:rsid w:val="00175E11"/>
    <w:rsid w:val="001766DA"/>
    <w:rsid w:val="00180B42"/>
    <w:rsid w:val="0018467A"/>
    <w:rsid w:val="00186473"/>
    <w:rsid w:val="00186A55"/>
    <w:rsid w:val="00187223"/>
    <w:rsid w:val="001900B4"/>
    <w:rsid w:val="00191EAD"/>
    <w:rsid w:val="00193FAE"/>
    <w:rsid w:val="00194111"/>
    <w:rsid w:val="00195159"/>
    <w:rsid w:val="001951DA"/>
    <w:rsid w:val="001952BB"/>
    <w:rsid w:val="0019542A"/>
    <w:rsid w:val="00195852"/>
    <w:rsid w:val="001A054A"/>
    <w:rsid w:val="001A1528"/>
    <w:rsid w:val="001A193E"/>
    <w:rsid w:val="001A297E"/>
    <w:rsid w:val="001A2BA6"/>
    <w:rsid w:val="001A2D52"/>
    <w:rsid w:val="001A39CD"/>
    <w:rsid w:val="001A417E"/>
    <w:rsid w:val="001A49DE"/>
    <w:rsid w:val="001A4EF3"/>
    <w:rsid w:val="001A53BD"/>
    <w:rsid w:val="001B38F4"/>
    <w:rsid w:val="001B4DC6"/>
    <w:rsid w:val="001B52E5"/>
    <w:rsid w:val="001B70E7"/>
    <w:rsid w:val="001C125C"/>
    <w:rsid w:val="001C23EF"/>
    <w:rsid w:val="001C2631"/>
    <w:rsid w:val="001C3339"/>
    <w:rsid w:val="001C340B"/>
    <w:rsid w:val="001C3FBF"/>
    <w:rsid w:val="001C5073"/>
    <w:rsid w:val="001D090D"/>
    <w:rsid w:val="001D1A7D"/>
    <w:rsid w:val="001D1D37"/>
    <w:rsid w:val="001D1D74"/>
    <w:rsid w:val="001D1DA6"/>
    <w:rsid w:val="001D2157"/>
    <w:rsid w:val="001D2527"/>
    <w:rsid w:val="001D40C4"/>
    <w:rsid w:val="001D59E7"/>
    <w:rsid w:val="001D5C20"/>
    <w:rsid w:val="001D6DFF"/>
    <w:rsid w:val="001D768B"/>
    <w:rsid w:val="001D7C98"/>
    <w:rsid w:val="001E08B9"/>
    <w:rsid w:val="001E0FE8"/>
    <w:rsid w:val="001E39E7"/>
    <w:rsid w:val="001E3A95"/>
    <w:rsid w:val="001E5641"/>
    <w:rsid w:val="001E673D"/>
    <w:rsid w:val="001F0834"/>
    <w:rsid w:val="001F093A"/>
    <w:rsid w:val="001F1633"/>
    <w:rsid w:val="001F1B13"/>
    <w:rsid w:val="001F1D25"/>
    <w:rsid w:val="001F1DB6"/>
    <w:rsid w:val="001F4561"/>
    <w:rsid w:val="001F53A1"/>
    <w:rsid w:val="001F69DB"/>
    <w:rsid w:val="001F7071"/>
    <w:rsid w:val="002002C2"/>
    <w:rsid w:val="0020148E"/>
    <w:rsid w:val="00203F71"/>
    <w:rsid w:val="00204565"/>
    <w:rsid w:val="00205783"/>
    <w:rsid w:val="00206013"/>
    <w:rsid w:val="00206AD0"/>
    <w:rsid w:val="00207267"/>
    <w:rsid w:val="00207803"/>
    <w:rsid w:val="002079F9"/>
    <w:rsid w:val="002108C6"/>
    <w:rsid w:val="00211E4C"/>
    <w:rsid w:val="0021295C"/>
    <w:rsid w:val="00212A75"/>
    <w:rsid w:val="00213DDD"/>
    <w:rsid w:val="002146A6"/>
    <w:rsid w:val="002146B7"/>
    <w:rsid w:val="00214A79"/>
    <w:rsid w:val="00220FCD"/>
    <w:rsid w:val="00222799"/>
    <w:rsid w:val="0022497D"/>
    <w:rsid w:val="00224A90"/>
    <w:rsid w:val="00225AC7"/>
    <w:rsid w:val="0022648B"/>
    <w:rsid w:val="0022705E"/>
    <w:rsid w:val="00227FD1"/>
    <w:rsid w:val="00230CB7"/>
    <w:rsid w:val="00230F90"/>
    <w:rsid w:val="00233139"/>
    <w:rsid w:val="00233140"/>
    <w:rsid w:val="002348A4"/>
    <w:rsid w:val="00235589"/>
    <w:rsid w:val="00236207"/>
    <w:rsid w:val="002370B3"/>
    <w:rsid w:val="00240059"/>
    <w:rsid w:val="00241436"/>
    <w:rsid w:val="00241680"/>
    <w:rsid w:val="00241FEB"/>
    <w:rsid w:val="00242047"/>
    <w:rsid w:val="00242D07"/>
    <w:rsid w:val="002502FB"/>
    <w:rsid w:val="00250734"/>
    <w:rsid w:val="0025125D"/>
    <w:rsid w:val="00251DF2"/>
    <w:rsid w:val="00253A0F"/>
    <w:rsid w:val="00253FE5"/>
    <w:rsid w:val="002559EE"/>
    <w:rsid w:val="00257D5E"/>
    <w:rsid w:val="00260AE6"/>
    <w:rsid w:val="00260D61"/>
    <w:rsid w:val="0026210F"/>
    <w:rsid w:val="00262FA6"/>
    <w:rsid w:val="002649C4"/>
    <w:rsid w:val="00265281"/>
    <w:rsid w:val="00265453"/>
    <w:rsid w:val="00265C75"/>
    <w:rsid w:val="00265F3D"/>
    <w:rsid w:val="00270786"/>
    <w:rsid w:val="00270B1C"/>
    <w:rsid w:val="00270CEA"/>
    <w:rsid w:val="00271069"/>
    <w:rsid w:val="00271867"/>
    <w:rsid w:val="00272928"/>
    <w:rsid w:val="00272B31"/>
    <w:rsid w:val="00274F0D"/>
    <w:rsid w:val="00275EF8"/>
    <w:rsid w:val="00280BB1"/>
    <w:rsid w:val="0028105A"/>
    <w:rsid w:val="00283397"/>
    <w:rsid w:val="002833E0"/>
    <w:rsid w:val="002859B1"/>
    <w:rsid w:val="002901BD"/>
    <w:rsid w:val="002917DB"/>
    <w:rsid w:val="00292636"/>
    <w:rsid w:val="0029305D"/>
    <w:rsid w:val="002940AE"/>
    <w:rsid w:val="002A2B6D"/>
    <w:rsid w:val="002A3667"/>
    <w:rsid w:val="002A6337"/>
    <w:rsid w:val="002A762B"/>
    <w:rsid w:val="002A7B2A"/>
    <w:rsid w:val="002B0DF0"/>
    <w:rsid w:val="002B20F9"/>
    <w:rsid w:val="002B4E33"/>
    <w:rsid w:val="002B51AF"/>
    <w:rsid w:val="002B5216"/>
    <w:rsid w:val="002B55B8"/>
    <w:rsid w:val="002B671F"/>
    <w:rsid w:val="002C2CBE"/>
    <w:rsid w:val="002C2D40"/>
    <w:rsid w:val="002C4EB4"/>
    <w:rsid w:val="002C5698"/>
    <w:rsid w:val="002C625F"/>
    <w:rsid w:val="002C7488"/>
    <w:rsid w:val="002C7924"/>
    <w:rsid w:val="002C7D82"/>
    <w:rsid w:val="002C7E08"/>
    <w:rsid w:val="002D0739"/>
    <w:rsid w:val="002D1075"/>
    <w:rsid w:val="002D34F8"/>
    <w:rsid w:val="002D4448"/>
    <w:rsid w:val="002E17F7"/>
    <w:rsid w:val="002E1BD5"/>
    <w:rsid w:val="002E2CBE"/>
    <w:rsid w:val="002E424E"/>
    <w:rsid w:val="002E6CB6"/>
    <w:rsid w:val="002E6EBB"/>
    <w:rsid w:val="002E7258"/>
    <w:rsid w:val="002F08B9"/>
    <w:rsid w:val="002F12B0"/>
    <w:rsid w:val="002F15CE"/>
    <w:rsid w:val="002F220C"/>
    <w:rsid w:val="002F3C54"/>
    <w:rsid w:val="002F4CD1"/>
    <w:rsid w:val="002F69CF"/>
    <w:rsid w:val="002F70DD"/>
    <w:rsid w:val="002F72A0"/>
    <w:rsid w:val="002F7DD1"/>
    <w:rsid w:val="003009B3"/>
    <w:rsid w:val="00303D38"/>
    <w:rsid w:val="00304DFD"/>
    <w:rsid w:val="00305000"/>
    <w:rsid w:val="0030544E"/>
    <w:rsid w:val="003054F4"/>
    <w:rsid w:val="00305F52"/>
    <w:rsid w:val="00306155"/>
    <w:rsid w:val="0030654F"/>
    <w:rsid w:val="00307919"/>
    <w:rsid w:val="00307A5D"/>
    <w:rsid w:val="00307BF1"/>
    <w:rsid w:val="00310A51"/>
    <w:rsid w:val="00310EAC"/>
    <w:rsid w:val="003147E6"/>
    <w:rsid w:val="003153A4"/>
    <w:rsid w:val="00315D57"/>
    <w:rsid w:val="00315E08"/>
    <w:rsid w:val="00317534"/>
    <w:rsid w:val="00317C7C"/>
    <w:rsid w:val="00320EA9"/>
    <w:rsid w:val="00322038"/>
    <w:rsid w:val="00322258"/>
    <w:rsid w:val="00323B54"/>
    <w:rsid w:val="003258D4"/>
    <w:rsid w:val="003266DB"/>
    <w:rsid w:val="0032730F"/>
    <w:rsid w:val="003304DA"/>
    <w:rsid w:val="003326F1"/>
    <w:rsid w:val="00332A29"/>
    <w:rsid w:val="003336A8"/>
    <w:rsid w:val="00334E8F"/>
    <w:rsid w:val="00336233"/>
    <w:rsid w:val="003363C0"/>
    <w:rsid w:val="00336B83"/>
    <w:rsid w:val="003370CD"/>
    <w:rsid w:val="00337F48"/>
    <w:rsid w:val="00340556"/>
    <w:rsid w:val="00344D54"/>
    <w:rsid w:val="003469A7"/>
    <w:rsid w:val="0034731F"/>
    <w:rsid w:val="003478F1"/>
    <w:rsid w:val="00347FCA"/>
    <w:rsid w:val="00352824"/>
    <w:rsid w:val="003531F3"/>
    <w:rsid w:val="003535F3"/>
    <w:rsid w:val="00354D3D"/>
    <w:rsid w:val="00355107"/>
    <w:rsid w:val="0035701C"/>
    <w:rsid w:val="00357C2D"/>
    <w:rsid w:val="00357FDC"/>
    <w:rsid w:val="00360673"/>
    <w:rsid w:val="00361152"/>
    <w:rsid w:val="00362818"/>
    <w:rsid w:val="00362FA8"/>
    <w:rsid w:val="00365827"/>
    <w:rsid w:val="00365AB9"/>
    <w:rsid w:val="00366BFF"/>
    <w:rsid w:val="00367749"/>
    <w:rsid w:val="0037180E"/>
    <w:rsid w:val="0037197B"/>
    <w:rsid w:val="00372A31"/>
    <w:rsid w:val="00372B1A"/>
    <w:rsid w:val="003742F9"/>
    <w:rsid w:val="00375BE7"/>
    <w:rsid w:val="00375CD2"/>
    <w:rsid w:val="00380D2C"/>
    <w:rsid w:val="0038112F"/>
    <w:rsid w:val="00381749"/>
    <w:rsid w:val="00381B86"/>
    <w:rsid w:val="003820BA"/>
    <w:rsid w:val="003825D6"/>
    <w:rsid w:val="00382BDA"/>
    <w:rsid w:val="003840CE"/>
    <w:rsid w:val="00385A98"/>
    <w:rsid w:val="003865B5"/>
    <w:rsid w:val="00390DB2"/>
    <w:rsid w:val="00390EBF"/>
    <w:rsid w:val="003934C5"/>
    <w:rsid w:val="003973B8"/>
    <w:rsid w:val="0039799C"/>
    <w:rsid w:val="003A0455"/>
    <w:rsid w:val="003A43C3"/>
    <w:rsid w:val="003A451D"/>
    <w:rsid w:val="003A4CB4"/>
    <w:rsid w:val="003A5E6A"/>
    <w:rsid w:val="003A6BEF"/>
    <w:rsid w:val="003B0C4C"/>
    <w:rsid w:val="003B1D48"/>
    <w:rsid w:val="003B2211"/>
    <w:rsid w:val="003B55A5"/>
    <w:rsid w:val="003B5CBB"/>
    <w:rsid w:val="003B6CC3"/>
    <w:rsid w:val="003B7598"/>
    <w:rsid w:val="003B763A"/>
    <w:rsid w:val="003C0F97"/>
    <w:rsid w:val="003C2052"/>
    <w:rsid w:val="003C22B7"/>
    <w:rsid w:val="003C23A4"/>
    <w:rsid w:val="003C31B6"/>
    <w:rsid w:val="003C4949"/>
    <w:rsid w:val="003C566B"/>
    <w:rsid w:val="003C767C"/>
    <w:rsid w:val="003C784B"/>
    <w:rsid w:val="003C7D63"/>
    <w:rsid w:val="003C7EDD"/>
    <w:rsid w:val="003D18E3"/>
    <w:rsid w:val="003D19A4"/>
    <w:rsid w:val="003D3537"/>
    <w:rsid w:val="003D4792"/>
    <w:rsid w:val="003D4CB0"/>
    <w:rsid w:val="003D4CB7"/>
    <w:rsid w:val="003D4F48"/>
    <w:rsid w:val="003D5303"/>
    <w:rsid w:val="003D557B"/>
    <w:rsid w:val="003E0822"/>
    <w:rsid w:val="003E0B23"/>
    <w:rsid w:val="003E0B88"/>
    <w:rsid w:val="003E1D34"/>
    <w:rsid w:val="003E342C"/>
    <w:rsid w:val="003E3DB8"/>
    <w:rsid w:val="003E55FF"/>
    <w:rsid w:val="003E5BCA"/>
    <w:rsid w:val="003E5EC7"/>
    <w:rsid w:val="003E5FFA"/>
    <w:rsid w:val="003E6641"/>
    <w:rsid w:val="003E6685"/>
    <w:rsid w:val="003F08D7"/>
    <w:rsid w:val="003F3073"/>
    <w:rsid w:val="003F593E"/>
    <w:rsid w:val="003F5C05"/>
    <w:rsid w:val="003F6284"/>
    <w:rsid w:val="003F7478"/>
    <w:rsid w:val="00401618"/>
    <w:rsid w:val="00401832"/>
    <w:rsid w:val="004019EA"/>
    <w:rsid w:val="0040221E"/>
    <w:rsid w:val="004023E7"/>
    <w:rsid w:val="004034E3"/>
    <w:rsid w:val="00405D1F"/>
    <w:rsid w:val="00407174"/>
    <w:rsid w:val="004078F5"/>
    <w:rsid w:val="004103D4"/>
    <w:rsid w:val="00410DEF"/>
    <w:rsid w:val="00411B69"/>
    <w:rsid w:val="004125A2"/>
    <w:rsid w:val="00412E09"/>
    <w:rsid w:val="00412F25"/>
    <w:rsid w:val="004141CF"/>
    <w:rsid w:val="004152A3"/>
    <w:rsid w:val="004155FB"/>
    <w:rsid w:val="0041581B"/>
    <w:rsid w:val="00417396"/>
    <w:rsid w:val="00421B01"/>
    <w:rsid w:val="004227EB"/>
    <w:rsid w:val="0042282B"/>
    <w:rsid w:val="004228EC"/>
    <w:rsid w:val="00422A2E"/>
    <w:rsid w:val="0042476D"/>
    <w:rsid w:val="0042568A"/>
    <w:rsid w:val="00425D00"/>
    <w:rsid w:val="0042712B"/>
    <w:rsid w:val="004274D5"/>
    <w:rsid w:val="004276AC"/>
    <w:rsid w:val="0043095D"/>
    <w:rsid w:val="00431722"/>
    <w:rsid w:val="00431C36"/>
    <w:rsid w:val="00431E16"/>
    <w:rsid w:val="00434337"/>
    <w:rsid w:val="00435BFD"/>
    <w:rsid w:val="00435E27"/>
    <w:rsid w:val="0043777C"/>
    <w:rsid w:val="00437AB6"/>
    <w:rsid w:val="004407CA"/>
    <w:rsid w:val="00440E4A"/>
    <w:rsid w:val="00441DAD"/>
    <w:rsid w:val="00441F15"/>
    <w:rsid w:val="00444552"/>
    <w:rsid w:val="004454B2"/>
    <w:rsid w:val="00445A76"/>
    <w:rsid w:val="00445CD9"/>
    <w:rsid w:val="00445FF6"/>
    <w:rsid w:val="004469E1"/>
    <w:rsid w:val="00447242"/>
    <w:rsid w:val="004476BC"/>
    <w:rsid w:val="00447937"/>
    <w:rsid w:val="00447BA9"/>
    <w:rsid w:val="004509B0"/>
    <w:rsid w:val="00451760"/>
    <w:rsid w:val="0045284A"/>
    <w:rsid w:val="00453E98"/>
    <w:rsid w:val="00454D5A"/>
    <w:rsid w:val="00454F33"/>
    <w:rsid w:val="00455199"/>
    <w:rsid w:val="00455B66"/>
    <w:rsid w:val="00455BE8"/>
    <w:rsid w:val="00456168"/>
    <w:rsid w:val="00456598"/>
    <w:rsid w:val="0045666A"/>
    <w:rsid w:val="00457335"/>
    <w:rsid w:val="00457448"/>
    <w:rsid w:val="00457478"/>
    <w:rsid w:val="00460957"/>
    <w:rsid w:val="00460FD8"/>
    <w:rsid w:val="00464C14"/>
    <w:rsid w:val="00464DF9"/>
    <w:rsid w:val="00466366"/>
    <w:rsid w:val="00467375"/>
    <w:rsid w:val="004673AF"/>
    <w:rsid w:val="00470129"/>
    <w:rsid w:val="004711F0"/>
    <w:rsid w:val="004718F8"/>
    <w:rsid w:val="00471ED6"/>
    <w:rsid w:val="00472F25"/>
    <w:rsid w:val="00473E0C"/>
    <w:rsid w:val="00474984"/>
    <w:rsid w:val="004750A7"/>
    <w:rsid w:val="004760FE"/>
    <w:rsid w:val="00477D87"/>
    <w:rsid w:val="0048274B"/>
    <w:rsid w:val="00482B31"/>
    <w:rsid w:val="00483152"/>
    <w:rsid w:val="004842B0"/>
    <w:rsid w:val="00484C31"/>
    <w:rsid w:val="0048552E"/>
    <w:rsid w:val="0048597E"/>
    <w:rsid w:val="00491689"/>
    <w:rsid w:val="00492E30"/>
    <w:rsid w:val="00492F4F"/>
    <w:rsid w:val="004935A7"/>
    <w:rsid w:val="004940CC"/>
    <w:rsid w:val="004962C3"/>
    <w:rsid w:val="00496E99"/>
    <w:rsid w:val="004977CC"/>
    <w:rsid w:val="004A0517"/>
    <w:rsid w:val="004A08CF"/>
    <w:rsid w:val="004A0A05"/>
    <w:rsid w:val="004A15C4"/>
    <w:rsid w:val="004A1E7C"/>
    <w:rsid w:val="004A2A79"/>
    <w:rsid w:val="004A3098"/>
    <w:rsid w:val="004A32A4"/>
    <w:rsid w:val="004A39FF"/>
    <w:rsid w:val="004A408E"/>
    <w:rsid w:val="004A4BA1"/>
    <w:rsid w:val="004A517F"/>
    <w:rsid w:val="004A5D04"/>
    <w:rsid w:val="004A765E"/>
    <w:rsid w:val="004A774B"/>
    <w:rsid w:val="004A78D1"/>
    <w:rsid w:val="004B02B7"/>
    <w:rsid w:val="004B1EAB"/>
    <w:rsid w:val="004B2658"/>
    <w:rsid w:val="004B2EEE"/>
    <w:rsid w:val="004B384F"/>
    <w:rsid w:val="004B425A"/>
    <w:rsid w:val="004B45EC"/>
    <w:rsid w:val="004B47A6"/>
    <w:rsid w:val="004B5E98"/>
    <w:rsid w:val="004B6A54"/>
    <w:rsid w:val="004B6CD4"/>
    <w:rsid w:val="004B7AB4"/>
    <w:rsid w:val="004B7B55"/>
    <w:rsid w:val="004B7E9A"/>
    <w:rsid w:val="004C1B93"/>
    <w:rsid w:val="004C286B"/>
    <w:rsid w:val="004C3DCD"/>
    <w:rsid w:val="004C58CF"/>
    <w:rsid w:val="004C6534"/>
    <w:rsid w:val="004C7CA1"/>
    <w:rsid w:val="004C7E0D"/>
    <w:rsid w:val="004D0E5F"/>
    <w:rsid w:val="004D384A"/>
    <w:rsid w:val="004D41A2"/>
    <w:rsid w:val="004D4950"/>
    <w:rsid w:val="004D569F"/>
    <w:rsid w:val="004D5763"/>
    <w:rsid w:val="004D581D"/>
    <w:rsid w:val="004D5AAC"/>
    <w:rsid w:val="004D79AC"/>
    <w:rsid w:val="004E20A3"/>
    <w:rsid w:val="004E4126"/>
    <w:rsid w:val="004E4710"/>
    <w:rsid w:val="004E4B65"/>
    <w:rsid w:val="004E58CC"/>
    <w:rsid w:val="004E79F6"/>
    <w:rsid w:val="004F011E"/>
    <w:rsid w:val="004F047D"/>
    <w:rsid w:val="004F0783"/>
    <w:rsid w:val="004F0DCC"/>
    <w:rsid w:val="004F1E25"/>
    <w:rsid w:val="004F2F65"/>
    <w:rsid w:val="004F33D2"/>
    <w:rsid w:val="004F4995"/>
    <w:rsid w:val="004F5D8C"/>
    <w:rsid w:val="004F5DA0"/>
    <w:rsid w:val="004F5F00"/>
    <w:rsid w:val="004F6221"/>
    <w:rsid w:val="004F7BA5"/>
    <w:rsid w:val="005006FB"/>
    <w:rsid w:val="00500C4B"/>
    <w:rsid w:val="0050155E"/>
    <w:rsid w:val="0050305C"/>
    <w:rsid w:val="005038E6"/>
    <w:rsid w:val="00504ABA"/>
    <w:rsid w:val="00505C32"/>
    <w:rsid w:val="00505D74"/>
    <w:rsid w:val="005065F4"/>
    <w:rsid w:val="0051013C"/>
    <w:rsid w:val="00510372"/>
    <w:rsid w:val="005106EC"/>
    <w:rsid w:val="00511057"/>
    <w:rsid w:val="00511A36"/>
    <w:rsid w:val="00512532"/>
    <w:rsid w:val="00513088"/>
    <w:rsid w:val="005130D3"/>
    <w:rsid w:val="0051450A"/>
    <w:rsid w:val="00514FCB"/>
    <w:rsid w:val="00515DED"/>
    <w:rsid w:val="00516A1F"/>
    <w:rsid w:val="00521B0C"/>
    <w:rsid w:val="00522649"/>
    <w:rsid w:val="00522B98"/>
    <w:rsid w:val="00523511"/>
    <w:rsid w:val="0052351C"/>
    <w:rsid w:val="00523981"/>
    <w:rsid w:val="00524B3B"/>
    <w:rsid w:val="00524E0F"/>
    <w:rsid w:val="0052619E"/>
    <w:rsid w:val="005262B0"/>
    <w:rsid w:val="00526574"/>
    <w:rsid w:val="00526A07"/>
    <w:rsid w:val="00526EF1"/>
    <w:rsid w:val="00527F55"/>
    <w:rsid w:val="00531203"/>
    <w:rsid w:val="0053145B"/>
    <w:rsid w:val="0053164E"/>
    <w:rsid w:val="005325C9"/>
    <w:rsid w:val="00534151"/>
    <w:rsid w:val="00535429"/>
    <w:rsid w:val="00535459"/>
    <w:rsid w:val="00535D40"/>
    <w:rsid w:val="00535D94"/>
    <w:rsid w:val="00536393"/>
    <w:rsid w:val="005363EB"/>
    <w:rsid w:val="005373A6"/>
    <w:rsid w:val="0054016D"/>
    <w:rsid w:val="005409E6"/>
    <w:rsid w:val="005412B3"/>
    <w:rsid w:val="0054137A"/>
    <w:rsid w:val="00541E47"/>
    <w:rsid w:val="00543B73"/>
    <w:rsid w:val="00545394"/>
    <w:rsid w:val="005460FA"/>
    <w:rsid w:val="005468C1"/>
    <w:rsid w:val="00546ADE"/>
    <w:rsid w:val="00546F1C"/>
    <w:rsid w:val="00547066"/>
    <w:rsid w:val="00547310"/>
    <w:rsid w:val="005475F6"/>
    <w:rsid w:val="00550675"/>
    <w:rsid w:val="00551113"/>
    <w:rsid w:val="005511A5"/>
    <w:rsid w:val="00551711"/>
    <w:rsid w:val="00552227"/>
    <w:rsid w:val="005548DE"/>
    <w:rsid w:val="00554CFF"/>
    <w:rsid w:val="0055554C"/>
    <w:rsid w:val="005556F9"/>
    <w:rsid w:val="00555C70"/>
    <w:rsid w:val="00555DDF"/>
    <w:rsid w:val="005560E0"/>
    <w:rsid w:val="005565BE"/>
    <w:rsid w:val="00557402"/>
    <w:rsid w:val="00561635"/>
    <w:rsid w:val="0056187A"/>
    <w:rsid w:val="005623E7"/>
    <w:rsid w:val="00562FA3"/>
    <w:rsid w:val="00564062"/>
    <w:rsid w:val="00564B05"/>
    <w:rsid w:val="0056515C"/>
    <w:rsid w:val="0056582C"/>
    <w:rsid w:val="00566424"/>
    <w:rsid w:val="00570BDE"/>
    <w:rsid w:val="005714E2"/>
    <w:rsid w:val="0057363E"/>
    <w:rsid w:val="005740FE"/>
    <w:rsid w:val="00576519"/>
    <w:rsid w:val="0057695B"/>
    <w:rsid w:val="00576E1F"/>
    <w:rsid w:val="00576ECA"/>
    <w:rsid w:val="00576F48"/>
    <w:rsid w:val="005773C4"/>
    <w:rsid w:val="0058069F"/>
    <w:rsid w:val="00582078"/>
    <w:rsid w:val="005822AB"/>
    <w:rsid w:val="005823A9"/>
    <w:rsid w:val="005826CE"/>
    <w:rsid w:val="00582C97"/>
    <w:rsid w:val="005832CE"/>
    <w:rsid w:val="00583832"/>
    <w:rsid w:val="00585DD4"/>
    <w:rsid w:val="005861FD"/>
    <w:rsid w:val="00586342"/>
    <w:rsid w:val="00586E5F"/>
    <w:rsid w:val="0059249A"/>
    <w:rsid w:val="005932B0"/>
    <w:rsid w:val="0059341D"/>
    <w:rsid w:val="00593C66"/>
    <w:rsid w:val="00594F9F"/>
    <w:rsid w:val="00595A5F"/>
    <w:rsid w:val="005974A1"/>
    <w:rsid w:val="00597A8C"/>
    <w:rsid w:val="005A4B0C"/>
    <w:rsid w:val="005A4B38"/>
    <w:rsid w:val="005A517A"/>
    <w:rsid w:val="005A5DAD"/>
    <w:rsid w:val="005A5DEC"/>
    <w:rsid w:val="005A5E12"/>
    <w:rsid w:val="005A6348"/>
    <w:rsid w:val="005A68B9"/>
    <w:rsid w:val="005A7E2D"/>
    <w:rsid w:val="005B07C0"/>
    <w:rsid w:val="005B2DB3"/>
    <w:rsid w:val="005B3EDA"/>
    <w:rsid w:val="005B4310"/>
    <w:rsid w:val="005B44A8"/>
    <w:rsid w:val="005B48E6"/>
    <w:rsid w:val="005B5509"/>
    <w:rsid w:val="005B7911"/>
    <w:rsid w:val="005C0E40"/>
    <w:rsid w:val="005C1419"/>
    <w:rsid w:val="005C1473"/>
    <w:rsid w:val="005C19DC"/>
    <w:rsid w:val="005C1A66"/>
    <w:rsid w:val="005C1B39"/>
    <w:rsid w:val="005C3394"/>
    <w:rsid w:val="005C37D7"/>
    <w:rsid w:val="005C3894"/>
    <w:rsid w:val="005C3A0E"/>
    <w:rsid w:val="005C609B"/>
    <w:rsid w:val="005C7DAE"/>
    <w:rsid w:val="005D1F2D"/>
    <w:rsid w:val="005D2D4E"/>
    <w:rsid w:val="005D3F90"/>
    <w:rsid w:val="005D5739"/>
    <w:rsid w:val="005D5E47"/>
    <w:rsid w:val="005D6546"/>
    <w:rsid w:val="005D668C"/>
    <w:rsid w:val="005D68D5"/>
    <w:rsid w:val="005D6ED2"/>
    <w:rsid w:val="005D78A3"/>
    <w:rsid w:val="005E1597"/>
    <w:rsid w:val="005E2120"/>
    <w:rsid w:val="005E2DD7"/>
    <w:rsid w:val="005E4530"/>
    <w:rsid w:val="005E6AAC"/>
    <w:rsid w:val="005E6E50"/>
    <w:rsid w:val="005F00DD"/>
    <w:rsid w:val="005F0FD6"/>
    <w:rsid w:val="005F28DC"/>
    <w:rsid w:val="005F4EA7"/>
    <w:rsid w:val="005F5E38"/>
    <w:rsid w:val="005F633F"/>
    <w:rsid w:val="005F6CA9"/>
    <w:rsid w:val="005F7CF0"/>
    <w:rsid w:val="00601729"/>
    <w:rsid w:val="006022C1"/>
    <w:rsid w:val="00602D3A"/>
    <w:rsid w:val="006034D7"/>
    <w:rsid w:val="00604F91"/>
    <w:rsid w:val="00605D07"/>
    <w:rsid w:val="00606065"/>
    <w:rsid w:val="006065C2"/>
    <w:rsid w:val="00606A98"/>
    <w:rsid w:val="00606B94"/>
    <w:rsid w:val="00606F69"/>
    <w:rsid w:val="0061036B"/>
    <w:rsid w:val="00612003"/>
    <w:rsid w:val="006133C3"/>
    <w:rsid w:val="006148BE"/>
    <w:rsid w:val="00614FB7"/>
    <w:rsid w:val="0061616D"/>
    <w:rsid w:val="006176F2"/>
    <w:rsid w:val="00617B34"/>
    <w:rsid w:val="00620179"/>
    <w:rsid w:val="00621B37"/>
    <w:rsid w:val="00622835"/>
    <w:rsid w:val="0062425A"/>
    <w:rsid w:val="006246A4"/>
    <w:rsid w:val="00624C57"/>
    <w:rsid w:val="00626387"/>
    <w:rsid w:val="0063060A"/>
    <w:rsid w:val="00631162"/>
    <w:rsid w:val="00631986"/>
    <w:rsid w:val="00631B42"/>
    <w:rsid w:val="00632523"/>
    <w:rsid w:val="00633CB0"/>
    <w:rsid w:val="00633EB8"/>
    <w:rsid w:val="00635D1F"/>
    <w:rsid w:val="00635E21"/>
    <w:rsid w:val="00635EC1"/>
    <w:rsid w:val="00640F63"/>
    <w:rsid w:val="006431C9"/>
    <w:rsid w:val="00643A9F"/>
    <w:rsid w:val="00644D28"/>
    <w:rsid w:val="00644E05"/>
    <w:rsid w:val="00645475"/>
    <w:rsid w:val="006461E0"/>
    <w:rsid w:val="00647D91"/>
    <w:rsid w:val="006501B3"/>
    <w:rsid w:val="00650F8B"/>
    <w:rsid w:val="0065155F"/>
    <w:rsid w:val="0065188A"/>
    <w:rsid w:val="00651EB4"/>
    <w:rsid w:val="0065348C"/>
    <w:rsid w:val="006541CD"/>
    <w:rsid w:val="00654C86"/>
    <w:rsid w:val="0065561F"/>
    <w:rsid w:val="00655AA9"/>
    <w:rsid w:val="00660E41"/>
    <w:rsid w:val="00660E89"/>
    <w:rsid w:val="00661BA3"/>
    <w:rsid w:val="00663125"/>
    <w:rsid w:val="00663492"/>
    <w:rsid w:val="006639E5"/>
    <w:rsid w:val="00663EC5"/>
    <w:rsid w:val="00665659"/>
    <w:rsid w:val="00666E4A"/>
    <w:rsid w:val="00671603"/>
    <w:rsid w:val="00671A58"/>
    <w:rsid w:val="00671D48"/>
    <w:rsid w:val="00672865"/>
    <w:rsid w:val="00672EA0"/>
    <w:rsid w:val="00673C99"/>
    <w:rsid w:val="0067425B"/>
    <w:rsid w:val="00674FAC"/>
    <w:rsid w:val="00675929"/>
    <w:rsid w:val="00677383"/>
    <w:rsid w:val="006777F3"/>
    <w:rsid w:val="006805BD"/>
    <w:rsid w:val="00683161"/>
    <w:rsid w:val="00683522"/>
    <w:rsid w:val="006839D5"/>
    <w:rsid w:val="00684808"/>
    <w:rsid w:val="006857C2"/>
    <w:rsid w:val="006862B3"/>
    <w:rsid w:val="00686BDF"/>
    <w:rsid w:val="00687BF2"/>
    <w:rsid w:val="006912B7"/>
    <w:rsid w:val="0069195F"/>
    <w:rsid w:val="00691E6A"/>
    <w:rsid w:val="0069224F"/>
    <w:rsid w:val="0069312B"/>
    <w:rsid w:val="00693D1C"/>
    <w:rsid w:val="0069450E"/>
    <w:rsid w:val="00694EC1"/>
    <w:rsid w:val="006958D6"/>
    <w:rsid w:val="00695D3B"/>
    <w:rsid w:val="006963D6"/>
    <w:rsid w:val="006973BC"/>
    <w:rsid w:val="006A10AE"/>
    <w:rsid w:val="006A13AE"/>
    <w:rsid w:val="006A1A0E"/>
    <w:rsid w:val="006A1EA8"/>
    <w:rsid w:val="006A2968"/>
    <w:rsid w:val="006A2A0B"/>
    <w:rsid w:val="006A3197"/>
    <w:rsid w:val="006A4EF2"/>
    <w:rsid w:val="006A5060"/>
    <w:rsid w:val="006A72A7"/>
    <w:rsid w:val="006B1662"/>
    <w:rsid w:val="006B17A0"/>
    <w:rsid w:val="006B230F"/>
    <w:rsid w:val="006B32D5"/>
    <w:rsid w:val="006B5120"/>
    <w:rsid w:val="006B52E3"/>
    <w:rsid w:val="006B5D71"/>
    <w:rsid w:val="006B61F9"/>
    <w:rsid w:val="006B68F4"/>
    <w:rsid w:val="006C2822"/>
    <w:rsid w:val="006C2DAE"/>
    <w:rsid w:val="006C3320"/>
    <w:rsid w:val="006C3873"/>
    <w:rsid w:val="006C3AF3"/>
    <w:rsid w:val="006C4B93"/>
    <w:rsid w:val="006C527C"/>
    <w:rsid w:val="006C561A"/>
    <w:rsid w:val="006C5770"/>
    <w:rsid w:val="006C5CE6"/>
    <w:rsid w:val="006C644C"/>
    <w:rsid w:val="006C653D"/>
    <w:rsid w:val="006C66EF"/>
    <w:rsid w:val="006D09EB"/>
    <w:rsid w:val="006D286E"/>
    <w:rsid w:val="006D47CD"/>
    <w:rsid w:val="006D6BD0"/>
    <w:rsid w:val="006D6C4C"/>
    <w:rsid w:val="006E04E1"/>
    <w:rsid w:val="006E0B4E"/>
    <w:rsid w:val="006E0B55"/>
    <w:rsid w:val="006E0FBF"/>
    <w:rsid w:val="006E19BD"/>
    <w:rsid w:val="006E1F4E"/>
    <w:rsid w:val="006E3F49"/>
    <w:rsid w:val="006E3F4D"/>
    <w:rsid w:val="006E4B94"/>
    <w:rsid w:val="006E528A"/>
    <w:rsid w:val="006E5AFF"/>
    <w:rsid w:val="006E5B6E"/>
    <w:rsid w:val="006E623D"/>
    <w:rsid w:val="006F029D"/>
    <w:rsid w:val="006F1758"/>
    <w:rsid w:val="006F240A"/>
    <w:rsid w:val="006F52F4"/>
    <w:rsid w:val="006F5710"/>
    <w:rsid w:val="006F70EF"/>
    <w:rsid w:val="006F733B"/>
    <w:rsid w:val="006F7A92"/>
    <w:rsid w:val="007019D5"/>
    <w:rsid w:val="00701DBE"/>
    <w:rsid w:val="00703D86"/>
    <w:rsid w:val="00706316"/>
    <w:rsid w:val="007065D1"/>
    <w:rsid w:val="007071FA"/>
    <w:rsid w:val="0070747F"/>
    <w:rsid w:val="007076D4"/>
    <w:rsid w:val="007077BC"/>
    <w:rsid w:val="00707B5F"/>
    <w:rsid w:val="00707EA3"/>
    <w:rsid w:val="00710049"/>
    <w:rsid w:val="0071095F"/>
    <w:rsid w:val="00710ADD"/>
    <w:rsid w:val="00712C2C"/>
    <w:rsid w:val="0071379F"/>
    <w:rsid w:val="0071566A"/>
    <w:rsid w:val="007156AD"/>
    <w:rsid w:val="00716B58"/>
    <w:rsid w:val="007173FC"/>
    <w:rsid w:val="0072049F"/>
    <w:rsid w:val="00721B5F"/>
    <w:rsid w:val="00722A47"/>
    <w:rsid w:val="00725225"/>
    <w:rsid w:val="00725F85"/>
    <w:rsid w:val="0072765A"/>
    <w:rsid w:val="00727B04"/>
    <w:rsid w:val="0073094F"/>
    <w:rsid w:val="00730F13"/>
    <w:rsid w:val="00732750"/>
    <w:rsid w:val="00733638"/>
    <w:rsid w:val="00735054"/>
    <w:rsid w:val="00735D2B"/>
    <w:rsid w:val="00735F33"/>
    <w:rsid w:val="0073729F"/>
    <w:rsid w:val="00742724"/>
    <w:rsid w:val="0074356C"/>
    <w:rsid w:val="007448FC"/>
    <w:rsid w:val="00744D3C"/>
    <w:rsid w:val="007454FE"/>
    <w:rsid w:val="00745A27"/>
    <w:rsid w:val="00745E15"/>
    <w:rsid w:val="00746733"/>
    <w:rsid w:val="00746C95"/>
    <w:rsid w:val="007473DD"/>
    <w:rsid w:val="00750CEA"/>
    <w:rsid w:val="00751325"/>
    <w:rsid w:val="00754018"/>
    <w:rsid w:val="007547C9"/>
    <w:rsid w:val="00754815"/>
    <w:rsid w:val="0075609B"/>
    <w:rsid w:val="00756BF3"/>
    <w:rsid w:val="007577AC"/>
    <w:rsid w:val="0076091E"/>
    <w:rsid w:val="00760D05"/>
    <w:rsid w:val="00761A46"/>
    <w:rsid w:val="007632EF"/>
    <w:rsid w:val="00763F08"/>
    <w:rsid w:val="00765029"/>
    <w:rsid w:val="00767B80"/>
    <w:rsid w:val="007701E2"/>
    <w:rsid w:val="00770681"/>
    <w:rsid w:val="00770EAB"/>
    <w:rsid w:val="0077115A"/>
    <w:rsid w:val="00772BBA"/>
    <w:rsid w:val="007731F0"/>
    <w:rsid w:val="0077323D"/>
    <w:rsid w:val="00774D1D"/>
    <w:rsid w:val="007754DB"/>
    <w:rsid w:val="00776252"/>
    <w:rsid w:val="00780CDA"/>
    <w:rsid w:val="00781946"/>
    <w:rsid w:val="00781C97"/>
    <w:rsid w:val="0078219E"/>
    <w:rsid w:val="007833B4"/>
    <w:rsid w:val="00783A98"/>
    <w:rsid w:val="00784C46"/>
    <w:rsid w:val="00785661"/>
    <w:rsid w:val="00786115"/>
    <w:rsid w:val="0078684B"/>
    <w:rsid w:val="00787714"/>
    <w:rsid w:val="0079046D"/>
    <w:rsid w:val="0079058B"/>
    <w:rsid w:val="00790B1A"/>
    <w:rsid w:val="00791B6F"/>
    <w:rsid w:val="0079337F"/>
    <w:rsid w:val="00793461"/>
    <w:rsid w:val="00794389"/>
    <w:rsid w:val="0079560B"/>
    <w:rsid w:val="00796DFF"/>
    <w:rsid w:val="007A033A"/>
    <w:rsid w:val="007A1821"/>
    <w:rsid w:val="007A2402"/>
    <w:rsid w:val="007A28B2"/>
    <w:rsid w:val="007A301F"/>
    <w:rsid w:val="007A3F27"/>
    <w:rsid w:val="007A4317"/>
    <w:rsid w:val="007A4F80"/>
    <w:rsid w:val="007A61E0"/>
    <w:rsid w:val="007A785B"/>
    <w:rsid w:val="007B0602"/>
    <w:rsid w:val="007B0F35"/>
    <w:rsid w:val="007B1C2E"/>
    <w:rsid w:val="007B2BA1"/>
    <w:rsid w:val="007B34A3"/>
    <w:rsid w:val="007B3DDB"/>
    <w:rsid w:val="007B5845"/>
    <w:rsid w:val="007B642D"/>
    <w:rsid w:val="007C1501"/>
    <w:rsid w:val="007C1D5F"/>
    <w:rsid w:val="007C213A"/>
    <w:rsid w:val="007C3F4F"/>
    <w:rsid w:val="007C4000"/>
    <w:rsid w:val="007C586E"/>
    <w:rsid w:val="007C7E3A"/>
    <w:rsid w:val="007D07BF"/>
    <w:rsid w:val="007D0A1B"/>
    <w:rsid w:val="007D2775"/>
    <w:rsid w:val="007D30F1"/>
    <w:rsid w:val="007D34AF"/>
    <w:rsid w:val="007D4149"/>
    <w:rsid w:val="007D41CD"/>
    <w:rsid w:val="007D74C1"/>
    <w:rsid w:val="007D77B2"/>
    <w:rsid w:val="007E046E"/>
    <w:rsid w:val="007E05C4"/>
    <w:rsid w:val="007E1B4D"/>
    <w:rsid w:val="007E202C"/>
    <w:rsid w:val="007E3C2B"/>
    <w:rsid w:val="007E62A2"/>
    <w:rsid w:val="007E6A8C"/>
    <w:rsid w:val="007F05F7"/>
    <w:rsid w:val="007F1031"/>
    <w:rsid w:val="007F12A0"/>
    <w:rsid w:val="007F1868"/>
    <w:rsid w:val="007F186C"/>
    <w:rsid w:val="007F19AA"/>
    <w:rsid w:val="007F28C7"/>
    <w:rsid w:val="007F29D0"/>
    <w:rsid w:val="007F2B74"/>
    <w:rsid w:val="007F4DF8"/>
    <w:rsid w:val="007F6EFE"/>
    <w:rsid w:val="007F78D4"/>
    <w:rsid w:val="007F7ABE"/>
    <w:rsid w:val="00800687"/>
    <w:rsid w:val="00800B1F"/>
    <w:rsid w:val="00800C88"/>
    <w:rsid w:val="00803294"/>
    <w:rsid w:val="008070E4"/>
    <w:rsid w:val="00807E33"/>
    <w:rsid w:val="008100FA"/>
    <w:rsid w:val="008104CC"/>
    <w:rsid w:val="00810B02"/>
    <w:rsid w:val="00811092"/>
    <w:rsid w:val="008114D4"/>
    <w:rsid w:val="00811978"/>
    <w:rsid w:val="0081310B"/>
    <w:rsid w:val="00813593"/>
    <w:rsid w:val="00814052"/>
    <w:rsid w:val="008145CB"/>
    <w:rsid w:val="00814C21"/>
    <w:rsid w:val="00814D67"/>
    <w:rsid w:val="00816A85"/>
    <w:rsid w:val="00817771"/>
    <w:rsid w:val="00821A66"/>
    <w:rsid w:val="0082319D"/>
    <w:rsid w:val="0082363E"/>
    <w:rsid w:val="00823939"/>
    <w:rsid w:val="00824182"/>
    <w:rsid w:val="00824DF5"/>
    <w:rsid w:val="00825CBA"/>
    <w:rsid w:val="008262F2"/>
    <w:rsid w:val="008270C7"/>
    <w:rsid w:val="00832122"/>
    <w:rsid w:val="00832EDD"/>
    <w:rsid w:val="0083340E"/>
    <w:rsid w:val="008351C8"/>
    <w:rsid w:val="00836548"/>
    <w:rsid w:val="00837882"/>
    <w:rsid w:val="008405A0"/>
    <w:rsid w:val="00841DA7"/>
    <w:rsid w:val="00842BCD"/>
    <w:rsid w:val="00842F20"/>
    <w:rsid w:val="0084406E"/>
    <w:rsid w:val="00845877"/>
    <w:rsid w:val="00845936"/>
    <w:rsid w:val="00851AE4"/>
    <w:rsid w:val="0085279B"/>
    <w:rsid w:val="008534B1"/>
    <w:rsid w:val="00853501"/>
    <w:rsid w:val="00853D7D"/>
    <w:rsid w:val="00854B50"/>
    <w:rsid w:val="008555C8"/>
    <w:rsid w:val="00857472"/>
    <w:rsid w:val="00860DA7"/>
    <w:rsid w:val="00861AB0"/>
    <w:rsid w:val="00863315"/>
    <w:rsid w:val="00863E19"/>
    <w:rsid w:val="008642A0"/>
    <w:rsid w:val="00865BB6"/>
    <w:rsid w:val="0086604D"/>
    <w:rsid w:val="008661D1"/>
    <w:rsid w:val="00870E50"/>
    <w:rsid w:val="0087274F"/>
    <w:rsid w:val="0087276F"/>
    <w:rsid w:val="008727E5"/>
    <w:rsid w:val="00875C3A"/>
    <w:rsid w:val="00875E91"/>
    <w:rsid w:val="00876C43"/>
    <w:rsid w:val="0088023C"/>
    <w:rsid w:val="008819D5"/>
    <w:rsid w:val="00882EDF"/>
    <w:rsid w:val="00882EFE"/>
    <w:rsid w:val="0088516F"/>
    <w:rsid w:val="00887E92"/>
    <w:rsid w:val="008900CC"/>
    <w:rsid w:val="008908AD"/>
    <w:rsid w:val="008917FA"/>
    <w:rsid w:val="00894BE8"/>
    <w:rsid w:val="008952E3"/>
    <w:rsid w:val="0089576A"/>
    <w:rsid w:val="00897D30"/>
    <w:rsid w:val="00897E08"/>
    <w:rsid w:val="008A0E3B"/>
    <w:rsid w:val="008A11A0"/>
    <w:rsid w:val="008A3596"/>
    <w:rsid w:val="008A387B"/>
    <w:rsid w:val="008A3ADE"/>
    <w:rsid w:val="008A447F"/>
    <w:rsid w:val="008A53B9"/>
    <w:rsid w:val="008A5B97"/>
    <w:rsid w:val="008B0438"/>
    <w:rsid w:val="008B0692"/>
    <w:rsid w:val="008B0A31"/>
    <w:rsid w:val="008B0A6B"/>
    <w:rsid w:val="008B5CB8"/>
    <w:rsid w:val="008B5D2B"/>
    <w:rsid w:val="008B607C"/>
    <w:rsid w:val="008B61EE"/>
    <w:rsid w:val="008B72C2"/>
    <w:rsid w:val="008B7715"/>
    <w:rsid w:val="008B7B01"/>
    <w:rsid w:val="008C1F3A"/>
    <w:rsid w:val="008C2FB6"/>
    <w:rsid w:val="008C3257"/>
    <w:rsid w:val="008C45EA"/>
    <w:rsid w:val="008C559B"/>
    <w:rsid w:val="008C5727"/>
    <w:rsid w:val="008C57FC"/>
    <w:rsid w:val="008C62CF"/>
    <w:rsid w:val="008C753E"/>
    <w:rsid w:val="008C7C5E"/>
    <w:rsid w:val="008D006B"/>
    <w:rsid w:val="008D0570"/>
    <w:rsid w:val="008D1147"/>
    <w:rsid w:val="008D1B0F"/>
    <w:rsid w:val="008D2B28"/>
    <w:rsid w:val="008D2EA0"/>
    <w:rsid w:val="008D3AB1"/>
    <w:rsid w:val="008D3FCE"/>
    <w:rsid w:val="008D44B4"/>
    <w:rsid w:val="008D58DF"/>
    <w:rsid w:val="008D698E"/>
    <w:rsid w:val="008E06C8"/>
    <w:rsid w:val="008E0B9A"/>
    <w:rsid w:val="008E13D1"/>
    <w:rsid w:val="008E24EE"/>
    <w:rsid w:val="008E2E69"/>
    <w:rsid w:val="008E4475"/>
    <w:rsid w:val="008E44FD"/>
    <w:rsid w:val="008E4996"/>
    <w:rsid w:val="008E4B0F"/>
    <w:rsid w:val="008E4E9A"/>
    <w:rsid w:val="008E50AF"/>
    <w:rsid w:val="008E53FA"/>
    <w:rsid w:val="008E5696"/>
    <w:rsid w:val="008E5FB9"/>
    <w:rsid w:val="008E6A1C"/>
    <w:rsid w:val="008E742D"/>
    <w:rsid w:val="008E79E1"/>
    <w:rsid w:val="008E7BFF"/>
    <w:rsid w:val="008E7C72"/>
    <w:rsid w:val="008F01BC"/>
    <w:rsid w:val="008F06DB"/>
    <w:rsid w:val="008F0796"/>
    <w:rsid w:val="008F0F67"/>
    <w:rsid w:val="008F1813"/>
    <w:rsid w:val="008F24AE"/>
    <w:rsid w:val="008F25B0"/>
    <w:rsid w:val="008F38BB"/>
    <w:rsid w:val="008F3DED"/>
    <w:rsid w:val="008F4077"/>
    <w:rsid w:val="008F5AB3"/>
    <w:rsid w:val="008F6818"/>
    <w:rsid w:val="008F7061"/>
    <w:rsid w:val="00903EED"/>
    <w:rsid w:val="0090556A"/>
    <w:rsid w:val="00905E86"/>
    <w:rsid w:val="009072C9"/>
    <w:rsid w:val="009110A4"/>
    <w:rsid w:val="009122DF"/>
    <w:rsid w:val="00912CE5"/>
    <w:rsid w:val="00912D51"/>
    <w:rsid w:val="00913545"/>
    <w:rsid w:val="0091416E"/>
    <w:rsid w:val="0091430F"/>
    <w:rsid w:val="00914C5B"/>
    <w:rsid w:val="00915B07"/>
    <w:rsid w:val="00916660"/>
    <w:rsid w:val="00917C22"/>
    <w:rsid w:val="00917ECC"/>
    <w:rsid w:val="00920344"/>
    <w:rsid w:val="00921C2C"/>
    <w:rsid w:val="00923EF6"/>
    <w:rsid w:val="009240CD"/>
    <w:rsid w:val="00924718"/>
    <w:rsid w:val="00926698"/>
    <w:rsid w:val="0092782A"/>
    <w:rsid w:val="00927C02"/>
    <w:rsid w:val="009301B9"/>
    <w:rsid w:val="009319E9"/>
    <w:rsid w:val="0093222E"/>
    <w:rsid w:val="00932476"/>
    <w:rsid w:val="00933014"/>
    <w:rsid w:val="009332E2"/>
    <w:rsid w:val="00933C48"/>
    <w:rsid w:val="009345E3"/>
    <w:rsid w:val="00934CA8"/>
    <w:rsid w:val="00937AF6"/>
    <w:rsid w:val="009407A4"/>
    <w:rsid w:val="00940CDA"/>
    <w:rsid w:val="00942F9D"/>
    <w:rsid w:val="00943208"/>
    <w:rsid w:val="00944632"/>
    <w:rsid w:val="009452EB"/>
    <w:rsid w:val="009460DE"/>
    <w:rsid w:val="00946A87"/>
    <w:rsid w:val="00946D0B"/>
    <w:rsid w:val="0095124C"/>
    <w:rsid w:val="00951430"/>
    <w:rsid w:val="00951E44"/>
    <w:rsid w:val="00953A04"/>
    <w:rsid w:val="00953A7A"/>
    <w:rsid w:val="00954F17"/>
    <w:rsid w:val="00955922"/>
    <w:rsid w:val="00957E7A"/>
    <w:rsid w:val="00961530"/>
    <w:rsid w:val="00962770"/>
    <w:rsid w:val="00962932"/>
    <w:rsid w:val="00962959"/>
    <w:rsid w:val="00962BE2"/>
    <w:rsid w:val="00964252"/>
    <w:rsid w:val="00964BFE"/>
    <w:rsid w:val="0096637E"/>
    <w:rsid w:val="009678F1"/>
    <w:rsid w:val="009679B3"/>
    <w:rsid w:val="009705BA"/>
    <w:rsid w:val="00970CA0"/>
    <w:rsid w:val="00970D75"/>
    <w:rsid w:val="00970F31"/>
    <w:rsid w:val="009712C6"/>
    <w:rsid w:val="00971541"/>
    <w:rsid w:val="00971FA9"/>
    <w:rsid w:val="0097224B"/>
    <w:rsid w:val="00972609"/>
    <w:rsid w:val="00973672"/>
    <w:rsid w:val="0097370B"/>
    <w:rsid w:val="009768D1"/>
    <w:rsid w:val="00976CFE"/>
    <w:rsid w:val="00977C8B"/>
    <w:rsid w:val="00977DE4"/>
    <w:rsid w:val="009838B0"/>
    <w:rsid w:val="00984146"/>
    <w:rsid w:val="0098421B"/>
    <w:rsid w:val="00984C97"/>
    <w:rsid w:val="00984EE2"/>
    <w:rsid w:val="009863CC"/>
    <w:rsid w:val="0099050C"/>
    <w:rsid w:val="009914F7"/>
    <w:rsid w:val="00991A18"/>
    <w:rsid w:val="00992C33"/>
    <w:rsid w:val="00992DE7"/>
    <w:rsid w:val="00992EA8"/>
    <w:rsid w:val="0099324E"/>
    <w:rsid w:val="00993F62"/>
    <w:rsid w:val="00994DC0"/>
    <w:rsid w:val="009970C1"/>
    <w:rsid w:val="009A1BAA"/>
    <w:rsid w:val="009A51CB"/>
    <w:rsid w:val="009A528C"/>
    <w:rsid w:val="009A54DE"/>
    <w:rsid w:val="009A5BE2"/>
    <w:rsid w:val="009B115F"/>
    <w:rsid w:val="009B1D5E"/>
    <w:rsid w:val="009B23D2"/>
    <w:rsid w:val="009B2584"/>
    <w:rsid w:val="009B302B"/>
    <w:rsid w:val="009B3F55"/>
    <w:rsid w:val="009B45C5"/>
    <w:rsid w:val="009B4E0A"/>
    <w:rsid w:val="009B5D7C"/>
    <w:rsid w:val="009C0B17"/>
    <w:rsid w:val="009C2BA2"/>
    <w:rsid w:val="009C2EEF"/>
    <w:rsid w:val="009C3778"/>
    <w:rsid w:val="009C456E"/>
    <w:rsid w:val="009C566F"/>
    <w:rsid w:val="009C57AE"/>
    <w:rsid w:val="009D04DE"/>
    <w:rsid w:val="009D071C"/>
    <w:rsid w:val="009D118C"/>
    <w:rsid w:val="009D13C6"/>
    <w:rsid w:val="009D1747"/>
    <w:rsid w:val="009D21AE"/>
    <w:rsid w:val="009D3347"/>
    <w:rsid w:val="009D49C1"/>
    <w:rsid w:val="009D787F"/>
    <w:rsid w:val="009E0A53"/>
    <w:rsid w:val="009E1F7B"/>
    <w:rsid w:val="009E259F"/>
    <w:rsid w:val="009E2AA1"/>
    <w:rsid w:val="009E2FD3"/>
    <w:rsid w:val="009E366E"/>
    <w:rsid w:val="009E4504"/>
    <w:rsid w:val="009E6872"/>
    <w:rsid w:val="009F05B5"/>
    <w:rsid w:val="009F0AC6"/>
    <w:rsid w:val="009F18CD"/>
    <w:rsid w:val="009F2C8E"/>
    <w:rsid w:val="009F3B61"/>
    <w:rsid w:val="009F4773"/>
    <w:rsid w:val="009F527C"/>
    <w:rsid w:val="009F5668"/>
    <w:rsid w:val="009F5EB7"/>
    <w:rsid w:val="009F6F9D"/>
    <w:rsid w:val="009F756C"/>
    <w:rsid w:val="00A0070F"/>
    <w:rsid w:val="00A01040"/>
    <w:rsid w:val="00A018F9"/>
    <w:rsid w:val="00A01CAA"/>
    <w:rsid w:val="00A02120"/>
    <w:rsid w:val="00A024BB"/>
    <w:rsid w:val="00A02851"/>
    <w:rsid w:val="00A02C37"/>
    <w:rsid w:val="00A03065"/>
    <w:rsid w:val="00A0329E"/>
    <w:rsid w:val="00A04031"/>
    <w:rsid w:val="00A06B9F"/>
    <w:rsid w:val="00A07906"/>
    <w:rsid w:val="00A136C2"/>
    <w:rsid w:val="00A142F3"/>
    <w:rsid w:val="00A146D8"/>
    <w:rsid w:val="00A15428"/>
    <w:rsid w:val="00A15810"/>
    <w:rsid w:val="00A17A3F"/>
    <w:rsid w:val="00A17A66"/>
    <w:rsid w:val="00A20189"/>
    <w:rsid w:val="00A21055"/>
    <w:rsid w:val="00A22E9D"/>
    <w:rsid w:val="00A232C4"/>
    <w:rsid w:val="00A2336A"/>
    <w:rsid w:val="00A2360F"/>
    <w:rsid w:val="00A24659"/>
    <w:rsid w:val="00A2605B"/>
    <w:rsid w:val="00A2609C"/>
    <w:rsid w:val="00A26BC6"/>
    <w:rsid w:val="00A27BB7"/>
    <w:rsid w:val="00A30447"/>
    <w:rsid w:val="00A3167B"/>
    <w:rsid w:val="00A3230D"/>
    <w:rsid w:val="00A33DD7"/>
    <w:rsid w:val="00A3528F"/>
    <w:rsid w:val="00A3547E"/>
    <w:rsid w:val="00A366B3"/>
    <w:rsid w:val="00A37835"/>
    <w:rsid w:val="00A400FB"/>
    <w:rsid w:val="00A4125A"/>
    <w:rsid w:val="00A427B5"/>
    <w:rsid w:val="00A42EA8"/>
    <w:rsid w:val="00A4315E"/>
    <w:rsid w:val="00A451A8"/>
    <w:rsid w:val="00A45285"/>
    <w:rsid w:val="00A502EB"/>
    <w:rsid w:val="00A51342"/>
    <w:rsid w:val="00A5167F"/>
    <w:rsid w:val="00A51D5B"/>
    <w:rsid w:val="00A51EDD"/>
    <w:rsid w:val="00A526F0"/>
    <w:rsid w:val="00A55EBC"/>
    <w:rsid w:val="00A56249"/>
    <w:rsid w:val="00A56E6C"/>
    <w:rsid w:val="00A61661"/>
    <w:rsid w:val="00A64F07"/>
    <w:rsid w:val="00A66B63"/>
    <w:rsid w:val="00A66EA8"/>
    <w:rsid w:val="00A70719"/>
    <w:rsid w:val="00A70A3B"/>
    <w:rsid w:val="00A714AE"/>
    <w:rsid w:val="00A721D7"/>
    <w:rsid w:val="00A72B1E"/>
    <w:rsid w:val="00A73693"/>
    <w:rsid w:val="00A74B40"/>
    <w:rsid w:val="00A74D42"/>
    <w:rsid w:val="00A7627C"/>
    <w:rsid w:val="00A764F9"/>
    <w:rsid w:val="00A800BF"/>
    <w:rsid w:val="00A823A0"/>
    <w:rsid w:val="00A823F9"/>
    <w:rsid w:val="00A82810"/>
    <w:rsid w:val="00A83A5B"/>
    <w:rsid w:val="00A85EFA"/>
    <w:rsid w:val="00A8604B"/>
    <w:rsid w:val="00A8673A"/>
    <w:rsid w:val="00A87944"/>
    <w:rsid w:val="00A87EED"/>
    <w:rsid w:val="00A912BF"/>
    <w:rsid w:val="00A92640"/>
    <w:rsid w:val="00A93AAD"/>
    <w:rsid w:val="00A93F44"/>
    <w:rsid w:val="00A951EE"/>
    <w:rsid w:val="00A9553B"/>
    <w:rsid w:val="00A95B85"/>
    <w:rsid w:val="00A978E5"/>
    <w:rsid w:val="00AA032F"/>
    <w:rsid w:val="00AA0559"/>
    <w:rsid w:val="00AA1716"/>
    <w:rsid w:val="00AA1F8F"/>
    <w:rsid w:val="00AA26B1"/>
    <w:rsid w:val="00AA2C29"/>
    <w:rsid w:val="00AA3763"/>
    <w:rsid w:val="00AA4A8A"/>
    <w:rsid w:val="00AA4FC6"/>
    <w:rsid w:val="00AA54FA"/>
    <w:rsid w:val="00AA643A"/>
    <w:rsid w:val="00AB1AD7"/>
    <w:rsid w:val="00AB2D5F"/>
    <w:rsid w:val="00AB3FE0"/>
    <w:rsid w:val="00AB43A1"/>
    <w:rsid w:val="00AB64F5"/>
    <w:rsid w:val="00AB75A4"/>
    <w:rsid w:val="00AB7F58"/>
    <w:rsid w:val="00AC1176"/>
    <w:rsid w:val="00AC1543"/>
    <w:rsid w:val="00AC2A9E"/>
    <w:rsid w:val="00AC2D08"/>
    <w:rsid w:val="00AC3E3B"/>
    <w:rsid w:val="00AC5CE0"/>
    <w:rsid w:val="00AC759F"/>
    <w:rsid w:val="00AD018C"/>
    <w:rsid w:val="00AD02DD"/>
    <w:rsid w:val="00AD12E6"/>
    <w:rsid w:val="00AD15F5"/>
    <w:rsid w:val="00AD3B7F"/>
    <w:rsid w:val="00AD3C62"/>
    <w:rsid w:val="00AD64DB"/>
    <w:rsid w:val="00AD6C3D"/>
    <w:rsid w:val="00AE2E87"/>
    <w:rsid w:val="00AE37D7"/>
    <w:rsid w:val="00AE5CFF"/>
    <w:rsid w:val="00AE61DC"/>
    <w:rsid w:val="00AE73AE"/>
    <w:rsid w:val="00AF121A"/>
    <w:rsid w:val="00AF2063"/>
    <w:rsid w:val="00AF344C"/>
    <w:rsid w:val="00AF36AA"/>
    <w:rsid w:val="00AF3C8F"/>
    <w:rsid w:val="00AF4E7D"/>
    <w:rsid w:val="00AF53FE"/>
    <w:rsid w:val="00AF5624"/>
    <w:rsid w:val="00AF5F9D"/>
    <w:rsid w:val="00AF6CFE"/>
    <w:rsid w:val="00AF6EA7"/>
    <w:rsid w:val="00AF74CB"/>
    <w:rsid w:val="00AF7642"/>
    <w:rsid w:val="00AF7823"/>
    <w:rsid w:val="00B00123"/>
    <w:rsid w:val="00B00143"/>
    <w:rsid w:val="00B004D5"/>
    <w:rsid w:val="00B005EF"/>
    <w:rsid w:val="00B01071"/>
    <w:rsid w:val="00B02189"/>
    <w:rsid w:val="00B03C1D"/>
    <w:rsid w:val="00B03CAF"/>
    <w:rsid w:val="00B04595"/>
    <w:rsid w:val="00B04C0A"/>
    <w:rsid w:val="00B04CA8"/>
    <w:rsid w:val="00B06E2A"/>
    <w:rsid w:val="00B07114"/>
    <w:rsid w:val="00B10B60"/>
    <w:rsid w:val="00B11ACC"/>
    <w:rsid w:val="00B12270"/>
    <w:rsid w:val="00B13642"/>
    <w:rsid w:val="00B13E00"/>
    <w:rsid w:val="00B228CE"/>
    <w:rsid w:val="00B239CE"/>
    <w:rsid w:val="00B25562"/>
    <w:rsid w:val="00B27278"/>
    <w:rsid w:val="00B274E7"/>
    <w:rsid w:val="00B30EF5"/>
    <w:rsid w:val="00B31C41"/>
    <w:rsid w:val="00B333E6"/>
    <w:rsid w:val="00B3396C"/>
    <w:rsid w:val="00B3449C"/>
    <w:rsid w:val="00B34A54"/>
    <w:rsid w:val="00B34FFC"/>
    <w:rsid w:val="00B357CE"/>
    <w:rsid w:val="00B3586F"/>
    <w:rsid w:val="00B359B8"/>
    <w:rsid w:val="00B366D8"/>
    <w:rsid w:val="00B36E09"/>
    <w:rsid w:val="00B376EC"/>
    <w:rsid w:val="00B4112C"/>
    <w:rsid w:val="00B4113D"/>
    <w:rsid w:val="00B41AF2"/>
    <w:rsid w:val="00B420F9"/>
    <w:rsid w:val="00B42446"/>
    <w:rsid w:val="00B429DD"/>
    <w:rsid w:val="00B4330D"/>
    <w:rsid w:val="00B449C4"/>
    <w:rsid w:val="00B45303"/>
    <w:rsid w:val="00B459FF"/>
    <w:rsid w:val="00B45CDE"/>
    <w:rsid w:val="00B46C96"/>
    <w:rsid w:val="00B46DF5"/>
    <w:rsid w:val="00B471CB"/>
    <w:rsid w:val="00B5066C"/>
    <w:rsid w:val="00B5151F"/>
    <w:rsid w:val="00B53EF2"/>
    <w:rsid w:val="00B546B1"/>
    <w:rsid w:val="00B55C45"/>
    <w:rsid w:val="00B5740F"/>
    <w:rsid w:val="00B57657"/>
    <w:rsid w:val="00B5776E"/>
    <w:rsid w:val="00B627A7"/>
    <w:rsid w:val="00B627FB"/>
    <w:rsid w:val="00B62B04"/>
    <w:rsid w:val="00B63510"/>
    <w:rsid w:val="00B640CB"/>
    <w:rsid w:val="00B67C93"/>
    <w:rsid w:val="00B67D85"/>
    <w:rsid w:val="00B705F2"/>
    <w:rsid w:val="00B7103B"/>
    <w:rsid w:val="00B71593"/>
    <w:rsid w:val="00B71F36"/>
    <w:rsid w:val="00B7264F"/>
    <w:rsid w:val="00B72B84"/>
    <w:rsid w:val="00B735D8"/>
    <w:rsid w:val="00B755EC"/>
    <w:rsid w:val="00B76B0B"/>
    <w:rsid w:val="00B772B8"/>
    <w:rsid w:val="00B77BF1"/>
    <w:rsid w:val="00B77C71"/>
    <w:rsid w:val="00B80BCC"/>
    <w:rsid w:val="00B812DB"/>
    <w:rsid w:val="00B8174C"/>
    <w:rsid w:val="00B83D24"/>
    <w:rsid w:val="00B84C3D"/>
    <w:rsid w:val="00B875FB"/>
    <w:rsid w:val="00B876ED"/>
    <w:rsid w:val="00B90488"/>
    <w:rsid w:val="00B905F2"/>
    <w:rsid w:val="00B91EC5"/>
    <w:rsid w:val="00B92CB1"/>
    <w:rsid w:val="00B92CF2"/>
    <w:rsid w:val="00B93E1C"/>
    <w:rsid w:val="00B93E55"/>
    <w:rsid w:val="00B94547"/>
    <w:rsid w:val="00B96365"/>
    <w:rsid w:val="00B96D10"/>
    <w:rsid w:val="00B97CA7"/>
    <w:rsid w:val="00BA088A"/>
    <w:rsid w:val="00BA2F39"/>
    <w:rsid w:val="00BA349B"/>
    <w:rsid w:val="00BA48E9"/>
    <w:rsid w:val="00BA58F7"/>
    <w:rsid w:val="00BA6635"/>
    <w:rsid w:val="00BB0512"/>
    <w:rsid w:val="00BB0D15"/>
    <w:rsid w:val="00BB22BC"/>
    <w:rsid w:val="00BB25A8"/>
    <w:rsid w:val="00BB2ECF"/>
    <w:rsid w:val="00BB3679"/>
    <w:rsid w:val="00BB5B6D"/>
    <w:rsid w:val="00BB629A"/>
    <w:rsid w:val="00BC0E02"/>
    <w:rsid w:val="00BC1082"/>
    <w:rsid w:val="00BC1800"/>
    <w:rsid w:val="00BC2220"/>
    <w:rsid w:val="00BC294D"/>
    <w:rsid w:val="00BC3AAA"/>
    <w:rsid w:val="00BC427B"/>
    <w:rsid w:val="00BC479A"/>
    <w:rsid w:val="00BC4A81"/>
    <w:rsid w:val="00BC64AA"/>
    <w:rsid w:val="00BD1135"/>
    <w:rsid w:val="00BD246F"/>
    <w:rsid w:val="00BD271A"/>
    <w:rsid w:val="00BD38AB"/>
    <w:rsid w:val="00BD3BF4"/>
    <w:rsid w:val="00BD44EE"/>
    <w:rsid w:val="00BD45EB"/>
    <w:rsid w:val="00BD478F"/>
    <w:rsid w:val="00BD4A06"/>
    <w:rsid w:val="00BD4F61"/>
    <w:rsid w:val="00BD785A"/>
    <w:rsid w:val="00BE0381"/>
    <w:rsid w:val="00BE05A9"/>
    <w:rsid w:val="00BE05B3"/>
    <w:rsid w:val="00BE10FF"/>
    <w:rsid w:val="00BE1483"/>
    <w:rsid w:val="00BE2895"/>
    <w:rsid w:val="00BE34D6"/>
    <w:rsid w:val="00BE36D1"/>
    <w:rsid w:val="00BE3966"/>
    <w:rsid w:val="00BE3E75"/>
    <w:rsid w:val="00BE525D"/>
    <w:rsid w:val="00BE5290"/>
    <w:rsid w:val="00BE5F38"/>
    <w:rsid w:val="00BE6085"/>
    <w:rsid w:val="00BE6CF9"/>
    <w:rsid w:val="00BE703F"/>
    <w:rsid w:val="00BF41EB"/>
    <w:rsid w:val="00BF4326"/>
    <w:rsid w:val="00BF4D4C"/>
    <w:rsid w:val="00BF7141"/>
    <w:rsid w:val="00C0053F"/>
    <w:rsid w:val="00C00F27"/>
    <w:rsid w:val="00C03AA3"/>
    <w:rsid w:val="00C0434A"/>
    <w:rsid w:val="00C049FA"/>
    <w:rsid w:val="00C04F7F"/>
    <w:rsid w:val="00C05A81"/>
    <w:rsid w:val="00C05C26"/>
    <w:rsid w:val="00C065F6"/>
    <w:rsid w:val="00C06931"/>
    <w:rsid w:val="00C06F9C"/>
    <w:rsid w:val="00C10178"/>
    <w:rsid w:val="00C102F1"/>
    <w:rsid w:val="00C11941"/>
    <w:rsid w:val="00C119B3"/>
    <w:rsid w:val="00C120D3"/>
    <w:rsid w:val="00C12D5B"/>
    <w:rsid w:val="00C13045"/>
    <w:rsid w:val="00C139FC"/>
    <w:rsid w:val="00C15E64"/>
    <w:rsid w:val="00C16158"/>
    <w:rsid w:val="00C17D61"/>
    <w:rsid w:val="00C2103A"/>
    <w:rsid w:val="00C21875"/>
    <w:rsid w:val="00C2253B"/>
    <w:rsid w:val="00C22593"/>
    <w:rsid w:val="00C22844"/>
    <w:rsid w:val="00C23CD0"/>
    <w:rsid w:val="00C25967"/>
    <w:rsid w:val="00C261B8"/>
    <w:rsid w:val="00C30988"/>
    <w:rsid w:val="00C31765"/>
    <w:rsid w:val="00C31C1A"/>
    <w:rsid w:val="00C32613"/>
    <w:rsid w:val="00C3284E"/>
    <w:rsid w:val="00C329EC"/>
    <w:rsid w:val="00C32AAA"/>
    <w:rsid w:val="00C340EA"/>
    <w:rsid w:val="00C3563E"/>
    <w:rsid w:val="00C36AC7"/>
    <w:rsid w:val="00C37260"/>
    <w:rsid w:val="00C37481"/>
    <w:rsid w:val="00C37E20"/>
    <w:rsid w:val="00C41A59"/>
    <w:rsid w:val="00C41D3B"/>
    <w:rsid w:val="00C43CCC"/>
    <w:rsid w:val="00C4400B"/>
    <w:rsid w:val="00C4461B"/>
    <w:rsid w:val="00C46896"/>
    <w:rsid w:val="00C46EBC"/>
    <w:rsid w:val="00C5334B"/>
    <w:rsid w:val="00C5345E"/>
    <w:rsid w:val="00C53627"/>
    <w:rsid w:val="00C5383C"/>
    <w:rsid w:val="00C54008"/>
    <w:rsid w:val="00C546EE"/>
    <w:rsid w:val="00C559AB"/>
    <w:rsid w:val="00C55FC6"/>
    <w:rsid w:val="00C562D0"/>
    <w:rsid w:val="00C56D75"/>
    <w:rsid w:val="00C570EB"/>
    <w:rsid w:val="00C60066"/>
    <w:rsid w:val="00C60590"/>
    <w:rsid w:val="00C61A96"/>
    <w:rsid w:val="00C61C88"/>
    <w:rsid w:val="00C62641"/>
    <w:rsid w:val="00C6303A"/>
    <w:rsid w:val="00C647AE"/>
    <w:rsid w:val="00C64DEE"/>
    <w:rsid w:val="00C65D67"/>
    <w:rsid w:val="00C671E4"/>
    <w:rsid w:val="00C70BEF"/>
    <w:rsid w:val="00C71024"/>
    <w:rsid w:val="00C71D67"/>
    <w:rsid w:val="00C72DCD"/>
    <w:rsid w:val="00C73E51"/>
    <w:rsid w:val="00C7433F"/>
    <w:rsid w:val="00C76627"/>
    <w:rsid w:val="00C774BB"/>
    <w:rsid w:val="00C8294D"/>
    <w:rsid w:val="00C82BC7"/>
    <w:rsid w:val="00C832E8"/>
    <w:rsid w:val="00C83741"/>
    <w:rsid w:val="00C83C87"/>
    <w:rsid w:val="00C8467F"/>
    <w:rsid w:val="00C8567D"/>
    <w:rsid w:val="00C85AB8"/>
    <w:rsid w:val="00C85F9D"/>
    <w:rsid w:val="00C86071"/>
    <w:rsid w:val="00C867F6"/>
    <w:rsid w:val="00C91BFA"/>
    <w:rsid w:val="00C939A6"/>
    <w:rsid w:val="00C93CE0"/>
    <w:rsid w:val="00C94CC5"/>
    <w:rsid w:val="00C966BB"/>
    <w:rsid w:val="00C967DC"/>
    <w:rsid w:val="00CA1E83"/>
    <w:rsid w:val="00CA218E"/>
    <w:rsid w:val="00CA23F0"/>
    <w:rsid w:val="00CA2406"/>
    <w:rsid w:val="00CA339C"/>
    <w:rsid w:val="00CA3830"/>
    <w:rsid w:val="00CA5FFF"/>
    <w:rsid w:val="00CA6B47"/>
    <w:rsid w:val="00CA7D35"/>
    <w:rsid w:val="00CB0A12"/>
    <w:rsid w:val="00CB3230"/>
    <w:rsid w:val="00CB371B"/>
    <w:rsid w:val="00CB381D"/>
    <w:rsid w:val="00CB4B50"/>
    <w:rsid w:val="00CB585A"/>
    <w:rsid w:val="00CB62D0"/>
    <w:rsid w:val="00CB693B"/>
    <w:rsid w:val="00CB74B0"/>
    <w:rsid w:val="00CB7D4E"/>
    <w:rsid w:val="00CC0119"/>
    <w:rsid w:val="00CC077C"/>
    <w:rsid w:val="00CC0A76"/>
    <w:rsid w:val="00CC0C85"/>
    <w:rsid w:val="00CC1213"/>
    <w:rsid w:val="00CC15E4"/>
    <w:rsid w:val="00CC29F9"/>
    <w:rsid w:val="00CC304F"/>
    <w:rsid w:val="00CC414A"/>
    <w:rsid w:val="00CC642E"/>
    <w:rsid w:val="00CC6C28"/>
    <w:rsid w:val="00CC7549"/>
    <w:rsid w:val="00CC7CA8"/>
    <w:rsid w:val="00CD0B51"/>
    <w:rsid w:val="00CD15FF"/>
    <w:rsid w:val="00CD2977"/>
    <w:rsid w:val="00CD2A1B"/>
    <w:rsid w:val="00CD5F6D"/>
    <w:rsid w:val="00CD7176"/>
    <w:rsid w:val="00CD72B1"/>
    <w:rsid w:val="00CD767A"/>
    <w:rsid w:val="00CD7AC2"/>
    <w:rsid w:val="00CE012D"/>
    <w:rsid w:val="00CE0BFD"/>
    <w:rsid w:val="00CE0E65"/>
    <w:rsid w:val="00CE13A9"/>
    <w:rsid w:val="00CE2CDA"/>
    <w:rsid w:val="00CE2F58"/>
    <w:rsid w:val="00CE340C"/>
    <w:rsid w:val="00CE3846"/>
    <w:rsid w:val="00CE39A3"/>
    <w:rsid w:val="00CE3AAB"/>
    <w:rsid w:val="00CE6498"/>
    <w:rsid w:val="00CE6C65"/>
    <w:rsid w:val="00CF0D94"/>
    <w:rsid w:val="00CF2E57"/>
    <w:rsid w:val="00CF5828"/>
    <w:rsid w:val="00CF5F50"/>
    <w:rsid w:val="00CF7068"/>
    <w:rsid w:val="00CF70B5"/>
    <w:rsid w:val="00D015BC"/>
    <w:rsid w:val="00D016EF"/>
    <w:rsid w:val="00D01D7A"/>
    <w:rsid w:val="00D04BA0"/>
    <w:rsid w:val="00D05115"/>
    <w:rsid w:val="00D13042"/>
    <w:rsid w:val="00D13330"/>
    <w:rsid w:val="00D13C1F"/>
    <w:rsid w:val="00D14B70"/>
    <w:rsid w:val="00D15656"/>
    <w:rsid w:val="00D159D0"/>
    <w:rsid w:val="00D1736F"/>
    <w:rsid w:val="00D2062D"/>
    <w:rsid w:val="00D2223F"/>
    <w:rsid w:val="00D2270E"/>
    <w:rsid w:val="00D22B2B"/>
    <w:rsid w:val="00D23C8D"/>
    <w:rsid w:val="00D24A47"/>
    <w:rsid w:val="00D24C96"/>
    <w:rsid w:val="00D24CF5"/>
    <w:rsid w:val="00D2510F"/>
    <w:rsid w:val="00D27B88"/>
    <w:rsid w:val="00D27FCE"/>
    <w:rsid w:val="00D30AB4"/>
    <w:rsid w:val="00D30DC8"/>
    <w:rsid w:val="00D30EC7"/>
    <w:rsid w:val="00D326DE"/>
    <w:rsid w:val="00D327DA"/>
    <w:rsid w:val="00D33595"/>
    <w:rsid w:val="00D369D7"/>
    <w:rsid w:val="00D36E39"/>
    <w:rsid w:val="00D378A5"/>
    <w:rsid w:val="00D41263"/>
    <w:rsid w:val="00D4161A"/>
    <w:rsid w:val="00D42926"/>
    <w:rsid w:val="00D42E4B"/>
    <w:rsid w:val="00D44266"/>
    <w:rsid w:val="00D44609"/>
    <w:rsid w:val="00D4561B"/>
    <w:rsid w:val="00D45B2E"/>
    <w:rsid w:val="00D45C1C"/>
    <w:rsid w:val="00D4667E"/>
    <w:rsid w:val="00D474B4"/>
    <w:rsid w:val="00D50BFD"/>
    <w:rsid w:val="00D51645"/>
    <w:rsid w:val="00D52466"/>
    <w:rsid w:val="00D52A50"/>
    <w:rsid w:val="00D52BBD"/>
    <w:rsid w:val="00D5315C"/>
    <w:rsid w:val="00D54008"/>
    <w:rsid w:val="00D55485"/>
    <w:rsid w:val="00D560CE"/>
    <w:rsid w:val="00D57131"/>
    <w:rsid w:val="00D573E5"/>
    <w:rsid w:val="00D5773A"/>
    <w:rsid w:val="00D57BA1"/>
    <w:rsid w:val="00D6013A"/>
    <w:rsid w:val="00D603CB"/>
    <w:rsid w:val="00D60F50"/>
    <w:rsid w:val="00D61760"/>
    <w:rsid w:val="00D61ABD"/>
    <w:rsid w:val="00D61CDA"/>
    <w:rsid w:val="00D6242F"/>
    <w:rsid w:val="00D6324A"/>
    <w:rsid w:val="00D63C75"/>
    <w:rsid w:val="00D63E95"/>
    <w:rsid w:val="00D64A64"/>
    <w:rsid w:val="00D67C29"/>
    <w:rsid w:val="00D72B89"/>
    <w:rsid w:val="00D731D1"/>
    <w:rsid w:val="00D758CF"/>
    <w:rsid w:val="00D75BDE"/>
    <w:rsid w:val="00D7696D"/>
    <w:rsid w:val="00D76DB0"/>
    <w:rsid w:val="00D8054D"/>
    <w:rsid w:val="00D8198D"/>
    <w:rsid w:val="00D82573"/>
    <w:rsid w:val="00D83231"/>
    <w:rsid w:val="00D83816"/>
    <w:rsid w:val="00D83F2E"/>
    <w:rsid w:val="00D84076"/>
    <w:rsid w:val="00D84AF2"/>
    <w:rsid w:val="00D84FF2"/>
    <w:rsid w:val="00D851EA"/>
    <w:rsid w:val="00D8617F"/>
    <w:rsid w:val="00D86922"/>
    <w:rsid w:val="00D86E79"/>
    <w:rsid w:val="00D870DF"/>
    <w:rsid w:val="00D875F5"/>
    <w:rsid w:val="00D9112E"/>
    <w:rsid w:val="00D929D2"/>
    <w:rsid w:val="00D938B9"/>
    <w:rsid w:val="00D940FA"/>
    <w:rsid w:val="00D95E25"/>
    <w:rsid w:val="00D965C4"/>
    <w:rsid w:val="00D966A5"/>
    <w:rsid w:val="00DA00BD"/>
    <w:rsid w:val="00DA04B8"/>
    <w:rsid w:val="00DA145E"/>
    <w:rsid w:val="00DA1E87"/>
    <w:rsid w:val="00DA3334"/>
    <w:rsid w:val="00DA4C9F"/>
    <w:rsid w:val="00DA5276"/>
    <w:rsid w:val="00DA57B2"/>
    <w:rsid w:val="00DA5EB6"/>
    <w:rsid w:val="00DA6020"/>
    <w:rsid w:val="00DA61D7"/>
    <w:rsid w:val="00DB0C71"/>
    <w:rsid w:val="00DB0F60"/>
    <w:rsid w:val="00DB2885"/>
    <w:rsid w:val="00DB3853"/>
    <w:rsid w:val="00DB3C0B"/>
    <w:rsid w:val="00DB4C40"/>
    <w:rsid w:val="00DB4CB4"/>
    <w:rsid w:val="00DB50E0"/>
    <w:rsid w:val="00DB57C0"/>
    <w:rsid w:val="00DB5B1C"/>
    <w:rsid w:val="00DB5C46"/>
    <w:rsid w:val="00DC01A9"/>
    <w:rsid w:val="00DC0969"/>
    <w:rsid w:val="00DC1E19"/>
    <w:rsid w:val="00DC2D19"/>
    <w:rsid w:val="00DC3E32"/>
    <w:rsid w:val="00DC571D"/>
    <w:rsid w:val="00DC7890"/>
    <w:rsid w:val="00DD0378"/>
    <w:rsid w:val="00DD298D"/>
    <w:rsid w:val="00DD2EFF"/>
    <w:rsid w:val="00DD38E0"/>
    <w:rsid w:val="00DD4023"/>
    <w:rsid w:val="00DD42D8"/>
    <w:rsid w:val="00DD4827"/>
    <w:rsid w:val="00DD5994"/>
    <w:rsid w:val="00DD6E14"/>
    <w:rsid w:val="00DE086F"/>
    <w:rsid w:val="00DE1546"/>
    <w:rsid w:val="00DE1C46"/>
    <w:rsid w:val="00DE23BC"/>
    <w:rsid w:val="00DE2EEA"/>
    <w:rsid w:val="00DE4A73"/>
    <w:rsid w:val="00DE4B5F"/>
    <w:rsid w:val="00DE68F1"/>
    <w:rsid w:val="00DE6E61"/>
    <w:rsid w:val="00DE7294"/>
    <w:rsid w:val="00DE72E6"/>
    <w:rsid w:val="00DE7F12"/>
    <w:rsid w:val="00DF01AE"/>
    <w:rsid w:val="00DF03B6"/>
    <w:rsid w:val="00DF1C5F"/>
    <w:rsid w:val="00DF42D8"/>
    <w:rsid w:val="00DF51DB"/>
    <w:rsid w:val="00DF5788"/>
    <w:rsid w:val="00DF7150"/>
    <w:rsid w:val="00DF7C97"/>
    <w:rsid w:val="00E00095"/>
    <w:rsid w:val="00E00211"/>
    <w:rsid w:val="00E00567"/>
    <w:rsid w:val="00E01226"/>
    <w:rsid w:val="00E01F10"/>
    <w:rsid w:val="00E0253E"/>
    <w:rsid w:val="00E02D0A"/>
    <w:rsid w:val="00E036C0"/>
    <w:rsid w:val="00E04D73"/>
    <w:rsid w:val="00E0508F"/>
    <w:rsid w:val="00E05744"/>
    <w:rsid w:val="00E06772"/>
    <w:rsid w:val="00E0708F"/>
    <w:rsid w:val="00E07387"/>
    <w:rsid w:val="00E10053"/>
    <w:rsid w:val="00E117B3"/>
    <w:rsid w:val="00E1182E"/>
    <w:rsid w:val="00E12AF4"/>
    <w:rsid w:val="00E132B2"/>
    <w:rsid w:val="00E14561"/>
    <w:rsid w:val="00E14789"/>
    <w:rsid w:val="00E156F6"/>
    <w:rsid w:val="00E166D3"/>
    <w:rsid w:val="00E2045A"/>
    <w:rsid w:val="00E21FF3"/>
    <w:rsid w:val="00E22057"/>
    <w:rsid w:val="00E221D1"/>
    <w:rsid w:val="00E22D11"/>
    <w:rsid w:val="00E23212"/>
    <w:rsid w:val="00E23B10"/>
    <w:rsid w:val="00E25B85"/>
    <w:rsid w:val="00E26182"/>
    <w:rsid w:val="00E26F59"/>
    <w:rsid w:val="00E275A1"/>
    <w:rsid w:val="00E303FD"/>
    <w:rsid w:val="00E30E37"/>
    <w:rsid w:val="00E31329"/>
    <w:rsid w:val="00E31B3E"/>
    <w:rsid w:val="00E320B5"/>
    <w:rsid w:val="00E3260F"/>
    <w:rsid w:val="00E32A20"/>
    <w:rsid w:val="00E32F3A"/>
    <w:rsid w:val="00E33782"/>
    <w:rsid w:val="00E3406D"/>
    <w:rsid w:val="00E34526"/>
    <w:rsid w:val="00E36544"/>
    <w:rsid w:val="00E373A6"/>
    <w:rsid w:val="00E376CB"/>
    <w:rsid w:val="00E40F58"/>
    <w:rsid w:val="00E444EA"/>
    <w:rsid w:val="00E45813"/>
    <w:rsid w:val="00E47A40"/>
    <w:rsid w:val="00E503AF"/>
    <w:rsid w:val="00E51C55"/>
    <w:rsid w:val="00E52146"/>
    <w:rsid w:val="00E54F0F"/>
    <w:rsid w:val="00E5733B"/>
    <w:rsid w:val="00E5790B"/>
    <w:rsid w:val="00E61AC6"/>
    <w:rsid w:val="00E62890"/>
    <w:rsid w:val="00E634E5"/>
    <w:rsid w:val="00E64636"/>
    <w:rsid w:val="00E64BCE"/>
    <w:rsid w:val="00E64FF9"/>
    <w:rsid w:val="00E65B38"/>
    <w:rsid w:val="00E66310"/>
    <w:rsid w:val="00E66C09"/>
    <w:rsid w:val="00E6785C"/>
    <w:rsid w:val="00E70300"/>
    <w:rsid w:val="00E70A1E"/>
    <w:rsid w:val="00E70B04"/>
    <w:rsid w:val="00E7138E"/>
    <w:rsid w:val="00E74568"/>
    <w:rsid w:val="00E74A07"/>
    <w:rsid w:val="00E75BE8"/>
    <w:rsid w:val="00E77F2F"/>
    <w:rsid w:val="00E81646"/>
    <w:rsid w:val="00E81AB4"/>
    <w:rsid w:val="00E84640"/>
    <w:rsid w:val="00E856E4"/>
    <w:rsid w:val="00E85A9D"/>
    <w:rsid w:val="00E8601C"/>
    <w:rsid w:val="00E86187"/>
    <w:rsid w:val="00E86551"/>
    <w:rsid w:val="00E865D2"/>
    <w:rsid w:val="00E91079"/>
    <w:rsid w:val="00E9148C"/>
    <w:rsid w:val="00E91C32"/>
    <w:rsid w:val="00E93ECE"/>
    <w:rsid w:val="00E94BA8"/>
    <w:rsid w:val="00E9566D"/>
    <w:rsid w:val="00E9635E"/>
    <w:rsid w:val="00E96CB5"/>
    <w:rsid w:val="00EA0036"/>
    <w:rsid w:val="00EA0928"/>
    <w:rsid w:val="00EA138E"/>
    <w:rsid w:val="00EA1496"/>
    <w:rsid w:val="00EA24D4"/>
    <w:rsid w:val="00EA2EBB"/>
    <w:rsid w:val="00EA62AA"/>
    <w:rsid w:val="00EA68B3"/>
    <w:rsid w:val="00EA6982"/>
    <w:rsid w:val="00EA7209"/>
    <w:rsid w:val="00EA7B2F"/>
    <w:rsid w:val="00EB0F7D"/>
    <w:rsid w:val="00EB1513"/>
    <w:rsid w:val="00EB1F5A"/>
    <w:rsid w:val="00EB2630"/>
    <w:rsid w:val="00EB3256"/>
    <w:rsid w:val="00EB44D0"/>
    <w:rsid w:val="00EB506F"/>
    <w:rsid w:val="00EB52E8"/>
    <w:rsid w:val="00EB627F"/>
    <w:rsid w:val="00EC04FD"/>
    <w:rsid w:val="00EC1B56"/>
    <w:rsid w:val="00EC3EF4"/>
    <w:rsid w:val="00EC423F"/>
    <w:rsid w:val="00EC4F9A"/>
    <w:rsid w:val="00EC5842"/>
    <w:rsid w:val="00EC63C9"/>
    <w:rsid w:val="00EC6EDE"/>
    <w:rsid w:val="00ED1AB2"/>
    <w:rsid w:val="00ED29AD"/>
    <w:rsid w:val="00ED2C61"/>
    <w:rsid w:val="00ED3808"/>
    <w:rsid w:val="00ED3E34"/>
    <w:rsid w:val="00ED4281"/>
    <w:rsid w:val="00ED4D44"/>
    <w:rsid w:val="00ED5904"/>
    <w:rsid w:val="00ED5D70"/>
    <w:rsid w:val="00ED76D2"/>
    <w:rsid w:val="00EE098E"/>
    <w:rsid w:val="00EE2402"/>
    <w:rsid w:val="00EE2963"/>
    <w:rsid w:val="00EE41A7"/>
    <w:rsid w:val="00EE4A21"/>
    <w:rsid w:val="00EE7810"/>
    <w:rsid w:val="00EE7C18"/>
    <w:rsid w:val="00EF021A"/>
    <w:rsid w:val="00EF08CE"/>
    <w:rsid w:val="00EF1958"/>
    <w:rsid w:val="00EF1CF1"/>
    <w:rsid w:val="00EF2283"/>
    <w:rsid w:val="00EF229A"/>
    <w:rsid w:val="00EF530F"/>
    <w:rsid w:val="00EF5BD6"/>
    <w:rsid w:val="00EF6D4F"/>
    <w:rsid w:val="00EF6FAB"/>
    <w:rsid w:val="00EF7824"/>
    <w:rsid w:val="00EF7B3F"/>
    <w:rsid w:val="00F012EE"/>
    <w:rsid w:val="00F03B7C"/>
    <w:rsid w:val="00F06715"/>
    <w:rsid w:val="00F06A04"/>
    <w:rsid w:val="00F06FE2"/>
    <w:rsid w:val="00F07168"/>
    <w:rsid w:val="00F0736C"/>
    <w:rsid w:val="00F07C60"/>
    <w:rsid w:val="00F07DA1"/>
    <w:rsid w:val="00F1211F"/>
    <w:rsid w:val="00F12B21"/>
    <w:rsid w:val="00F141A4"/>
    <w:rsid w:val="00F15C9D"/>
    <w:rsid w:val="00F15F41"/>
    <w:rsid w:val="00F16123"/>
    <w:rsid w:val="00F172AB"/>
    <w:rsid w:val="00F17861"/>
    <w:rsid w:val="00F21B9E"/>
    <w:rsid w:val="00F22A0F"/>
    <w:rsid w:val="00F230EC"/>
    <w:rsid w:val="00F2397B"/>
    <w:rsid w:val="00F25EA3"/>
    <w:rsid w:val="00F26462"/>
    <w:rsid w:val="00F26E7A"/>
    <w:rsid w:val="00F301B9"/>
    <w:rsid w:val="00F309AB"/>
    <w:rsid w:val="00F30C87"/>
    <w:rsid w:val="00F31A29"/>
    <w:rsid w:val="00F32857"/>
    <w:rsid w:val="00F32AAE"/>
    <w:rsid w:val="00F33350"/>
    <w:rsid w:val="00F338F8"/>
    <w:rsid w:val="00F33AD2"/>
    <w:rsid w:val="00F34771"/>
    <w:rsid w:val="00F35B15"/>
    <w:rsid w:val="00F36CDA"/>
    <w:rsid w:val="00F3725A"/>
    <w:rsid w:val="00F37579"/>
    <w:rsid w:val="00F4144C"/>
    <w:rsid w:val="00F424DB"/>
    <w:rsid w:val="00F4300A"/>
    <w:rsid w:val="00F43FA4"/>
    <w:rsid w:val="00F44530"/>
    <w:rsid w:val="00F44CFD"/>
    <w:rsid w:val="00F457CD"/>
    <w:rsid w:val="00F4659D"/>
    <w:rsid w:val="00F475FA"/>
    <w:rsid w:val="00F51339"/>
    <w:rsid w:val="00F52E6D"/>
    <w:rsid w:val="00F52F69"/>
    <w:rsid w:val="00F532B8"/>
    <w:rsid w:val="00F53812"/>
    <w:rsid w:val="00F53909"/>
    <w:rsid w:val="00F53B23"/>
    <w:rsid w:val="00F53BB1"/>
    <w:rsid w:val="00F54E96"/>
    <w:rsid w:val="00F55786"/>
    <w:rsid w:val="00F5583D"/>
    <w:rsid w:val="00F558DF"/>
    <w:rsid w:val="00F61318"/>
    <w:rsid w:val="00F61883"/>
    <w:rsid w:val="00F62BDF"/>
    <w:rsid w:val="00F64815"/>
    <w:rsid w:val="00F64EA3"/>
    <w:rsid w:val="00F65082"/>
    <w:rsid w:val="00F659B2"/>
    <w:rsid w:val="00F66F46"/>
    <w:rsid w:val="00F6766C"/>
    <w:rsid w:val="00F71384"/>
    <w:rsid w:val="00F72921"/>
    <w:rsid w:val="00F740DB"/>
    <w:rsid w:val="00F761A5"/>
    <w:rsid w:val="00F765B9"/>
    <w:rsid w:val="00F765BB"/>
    <w:rsid w:val="00F77F0F"/>
    <w:rsid w:val="00F8271D"/>
    <w:rsid w:val="00F83445"/>
    <w:rsid w:val="00F83466"/>
    <w:rsid w:val="00F865E0"/>
    <w:rsid w:val="00F90020"/>
    <w:rsid w:val="00F9055C"/>
    <w:rsid w:val="00F9184B"/>
    <w:rsid w:val="00F92BA3"/>
    <w:rsid w:val="00F93896"/>
    <w:rsid w:val="00F938C8"/>
    <w:rsid w:val="00F95E3D"/>
    <w:rsid w:val="00F96557"/>
    <w:rsid w:val="00F9678F"/>
    <w:rsid w:val="00F96F3F"/>
    <w:rsid w:val="00F97232"/>
    <w:rsid w:val="00F97C15"/>
    <w:rsid w:val="00FA2191"/>
    <w:rsid w:val="00FA2606"/>
    <w:rsid w:val="00FA31CD"/>
    <w:rsid w:val="00FA3AEF"/>
    <w:rsid w:val="00FA6653"/>
    <w:rsid w:val="00FA7353"/>
    <w:rsid w:val="00FB0142"/>
    <w:rsid w:val="00FB01A5"/>
    <w:rsid w:val="00FB1AC9"/>
    <w:rsid w:val="00FB1F73"/>
    <w:rsid w:val="00FB2DDB"/>
    <w:rsid w:val="00FB3649"/>
    <w:rsid w:val="00FB53ED"/>
    <w:rsid w:val="00FB6DF4"/>
    <w:rsid w:val="00FB7FEE"/>
    <w:rsid w:val="00FC0600"/>
    <w:rsid w:val="00FC0B63"/>
    <w:rsid w:val="00FC0C28"/>
    <w:rsid w:val="00FC19A7"/>
    <w:rsid w:val="00FC1A15"/>
    <w:rsid w:val="00FC1D0E"/>
    <w:rsid w:val="00FC201C"/>
    <w:rsid w:val="00FC204B"/>
    <w:rsid w:val="00FC29AF"/>
    <w:rsid w:val="00FC304C"/>
    <w:rsid w:val="00FC3EEF"/>
    <w:rsid w:val="00FC477A"/>
    <w:rsid w:val="00FC4A76"/>
    <w:rsid w:val="00FC4A83"/>
    <w:rsid w:val="00FC4CF1"/>
    <w:rsid w:val="00FC5389"/>
    <w:rsid w:val="00FC603B"/>
    <w:rsid w:val="00FC6290"/>
    <w:rsid w:val="00FC7861"/>
    <w:rsid w:val="00FD1EC1"/>
    <w:rsid w:val="00FD2317"/>
    <w:rsid w:val="00FD31F4"/>
    <w:rsid w:val="00FD3328"/>
    <w:rsid w:val="00FD3468"/>
    <w:rsid w:val="00FD3AE2"/>
    <w:rsid w:val="00FD415B"/>
    <w:rsid w:val="00FD416F"/>
    <w:rsid w:val="00FD4EB6"/>
    <w:rsid w:val="00FD52CC"/>
    <w:rsid w:val="00FD5392"/>
    <w:rsid w:val="00FD6684"/>
    <w:rsid w:val="00FE0353"/>
    <w:rsid w:val="00FE178B"/>
    <w:rsid w:val="00FE2072"/>
    <w:rsid w:val="00FE3029"/>
    <w:rsid w:val="00FE42D2"/>
    <w:rsid w:val="00FE60A8"/>
    <w:rsid w:val="00FE6FE0"/>
    <w:rsid w:val="00FE71DB"/>
    <w:rsid w:val="00FE789F"/>
    <w:rsid w:val="00FE7971"/>
    <w:rsid w:val="00FF1C47"/>
    <w:rsid w:val="00FF1C77"/>
    <w:rsid w:val="00FF218A"/>
    <w:rsid w:val="00FF35CF"/>
    <w:rsid w:val="00FF475C"/>
    <w:rsid w:val="00FF4774"/>
    <w:rsid w:val="00FF5153"/>
    <w:rsid w:val="00FF5611"/>
    <w:rsid w:val="00FF63A4"/>
    <w:rsid w:val="00FF705B"/>
    <w:rsid w:val="00FF7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47827"/>
    </o:shapedefaults>
    <o:shapelayout v:ext="edit">
      <o:idmap v:ext="edit" data="1"/>
    </o:shapelayout>
  </w:shapeDefaults>
  <w:decimalSymbol w:val="."/>
  <w:listSeparator w:val=","/>
  <w14:docId w14:val="7CD80F2C"/>
  <w14:defaultImageDpi w14:val="32767"/>
  <w15:docId w15:val="{703FC7F2-500D-4053-B52B-D8942E74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99" w:unhideWhenUsed="1" w:qFormat="1"/>
    <w:lsdException w:name="toc 6" w:semiHidden="1" w:uiPriority="99" w:unhideWhenUsed="1" w:qFormat="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iPriority="2"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2" w:unhideWhenUsed="1"/>
    <w:lsdException w:name="annotation reference" w:semiHidden="1" w:uiPriority="99" w:unhideWhenUsed="1"/>
    <w:lsdException w:name="line number" w:semiHidden="1" w:unhideWhenUsed="1"/>
    <w:lsdException w:name="page number" w:semiHidden="1" w:uiPriority="2" w:unhideWhenUsed="1" w:qFormat="1"/>
    <w:lsdException w:name="endnote reference"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4D4"/>
    <w:pPr>
      <w:spacing w:line="259" w:lineRule="auto"/>
    </w:pPr>
    <w:rPr>
      <w:rFonts w:ascii="Times New Roman" w:eastAsiaTheme="minorHAnsi" w:hAnsi="Times New Roman" w:cstheme="minorBidi"/>
      <w:sz w:val="24"/>
    </w:rPr>
  </w:style>
  <w:style w:type="paragraph" w:styleId="Heading1">
    <w:name w:val="heading 1"/>
    <w:next w:val="BodyText"/>
    <w:link w:val="Heading1Char"/>
    <w:uiPriority w:val="1"/>
    <w:qFormat/>
    <w:rsid w:val="00F4144C"/>
    <w:pPr>
      <w:keepNext/>
      <w:spacing w:before="360" w:after="240"/>
      <w:outlineLvl w:val="0"/>
    </w:pPr>
    <w:rPr>
      <w:rFonts w:ascii="Calibri" w:hAnsi="Calibri"/>
      <w:b/>
      <w:color w:val="003F56" w:themeColor="accent6" w:themeShade="80"/>
      <w:kern w:val="28"/>
      <w:sz w:val="32"/>
    </w:rPr>
  </w:style>
  <w:style w:type="paragraph" w:styleId="Heading2">
    <w:name w:val="heading 2"/>
    <w:basedOn w:val="Heading1"/>
    <w:next w:val="BodyText"/>
    <w:uiPriority w:val="1"/>
    <w:qFormat/>
    <w:rsid w:val="00E75BE8"/>
    <w:pPr>
      <w:numPr>
        <w:ilvl w:val="1"/>
      </w:numPr>
      <w:spacing w:before="240" w:after="0"/>
      <w:outlineLvl w:val="1"/>
    </w:pPr>
    <w:rPr>
      <w:sz w:val="28"/>
    </w:rPr>
  </w:style>
  <w:style w:type="paragraph" w:styleId="Heading3">
    <w:name w:val="heading 3"/>
    <w:basedOn w:val="Heading2"/>
    <w:next w:val="BodyText"/>
    <w:uiPriority w:val="1"/>
    <w:qFormat/>
    <w:rsid w:val="00EA62AA"/>
    <w:pPr>
      <w:numPr>
        <w:ilvl w:val="2"/>
      </w:numPr>
      <w:outlineLvl w:val="2"/>
    </w:pPr>
    <w:rPr>
      <w:sz w:val="24"/>
    </w:rPr>
  </w:style>
  <w:style w:type="paragraph" w:styleId="Heading4">
    <w:name w:val="heading 4"/>
    <w:basedOn w:val="Heading3"/>
    <w:next w:val="BodyText"/>
    <w:uiPriority w:val="1"/>
    <w:qFormat/>
    <w:rsid w:val="00EA62AA"/>
    <w:pPr>
      <w:numPr>
        <w:ilvl w:val="3"/>
      </w:numPr>
      <w:outlineLvl w:val="3"/>
    </w:pPr>
    <w:rPr>
      <w:sz w:val="22"/>
    </w:rPr>
  </w:style>
  <w:style w:type="paragraph" w:styleId="Heading5">
    <w:name w:val="heading 5"/>
    <w:basedOn w:val="Heading4"/>
    <w:next w:val="Normal"/>
    <w:uiPriority w:val="1"/>
    <w:qFormat/>
    <w:rsid w:val="00EA62AA"/>
    <w:pPr>
      <w:numPr>
        <w:ilvl w:val="4"/>
      </w:numPr>
      <w:outlineLvl w:val="4"/>
    </w:pPr>
  </w:style>
  <w:style w:type="paragraph" w:styleId="Heading6">
    <w:name w:val="heading 6"/>
    <w:basedOn w:val="Normal"/>
    <w:next w:val="BodyText"/>
    <w:link w:val="Heading6Char"/>
    <w:uiPriority w:val="1"/>
    <w:qFormat/>
    <w:rsid w:val="00E275A1"/>
    <w:pPr>
      <w:numPr>
        <w:ilvl w:val="5"/>
        <w:numId w:val="1"/>
      </w:numPr>
      <w:spacing w:after="240"/>
      <w:jc w:val="center"/>
      <w:outlineLvl w:val="5"/>
    </w:pPr>
    <w:rPr>
      <w:rFonts w:asciiTheme="majorHAnsi" w:hAnsiTheme="majorHAnsi"/>
      <w:b/>
      <w:color w:val="D57500" w:themeColor="text2"/>
      <w:sz w:val="32"/>
    </w:rPr>
  </w:style>
  <w:style w:type="paragraph" w:styleId="Heading7">
    <w:name w:val="heading 7"/>
    <w:basedOn w:val="Heading2"/>
    <w:next w:val="BodyText"/>
    <w:uiPriority w:val="1"/>
    <w:qFormat/>
    <w:rsid w:val="00EA62AA"/>
    <w:pPr>
      <w:numPr>
        <w:ilvl w:val="6"/>
      </w:numPr>
      <w:outlineLvl w:val="6"/>
    </w:pPr>
  </w:style>
  <w:style w:type="paragraph" w:styleId="Heading8">
    <w:name w:val="heading 8"/>
    <w:basedOn w:val="Heading4"/>
    <w:next w:val="BodyText"/>
    <w:uiPriority w:val="1"/>
    <w:qFormat/>
    <w:rsid w:val="00EA62AA"/>
    <w:pPr>
      <w:numPr>
        <w:ilvl w:val="7"/>
      </w:numPr>
      <w:outlineLvl w:val="7"/>
    </w:pPr>
    <w:rPr>
      <w:sz w:val="24"/>
    </w:rPr>
  </w:style>
  <w:style w:type="paragraph" w:styleId="Heading9">
    <w:name w:val="heading 9"/>
    <w:basedOn w:val="Heading4"/>
    <w:next w:val="BodyText"/>
    <w:uiPriority w:val="1"/>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qFormat/>
    <w:rsid w:val="00FC603B"/>
    <w:pPr>
      <w:spacing w:before="60" w:line="264" w:lineRule="auto"/>
      <w:ind w:left="2160" w:hanging="2160"/>
    </w:pPr>
    <w:rPr>
      <w:rFonts w:asciiTheme="minorHAnsi" w:hAnsiTheme="minorHAnsi"/>
    </w:rPr>
  </w:style>
  <w:style w:type="paragraph" w:styleId="BodyText">
    <w:name w:val="Body Text"/>
    <w:basedOn w:val="Normal"/>
    <w:link w:val="BodyTextChar"/>
    <w:qFormat/>
    <w:rsid w:val="00E74568"/>
    <w:pPr>
      <w:spacing w:before="240"/>
    </w:pPr>
    <w:rPr>
      <w:rFonts w:ascii="Calibri" w:hAnsi="Calibri"/>
      <w:sz w:val="22"/>
    </w:rPr>
  </w:style>
  <w:style w:type="paragraph" w:styleId="Caption">
    <w:name w:val="caption"/>
    <w:basedOn w:val="Normal"/>
    <w:next w:val="Normal"/>
    <w:uiPriority w:val="35"/>
    <w:qFormat/>
    <w:rsid w:val="000402EC"/>
    <w:pPr>
      <w:jc w:val="center"/>
    </w:pPr>
    <w:rPr>
      <w:color w:val="D57500" w:themeColor="text2"/>
    </w:rPr>
  </w:style>
  <w:style w:type="paragraph" w:customStyle="1" w:styleId="Caption-Fig">
    <w:name w:val="Caption-Fig"/>
    <w:basedOn w:val="Caption"/>
    <w:next w:val="Normal"/>
    <w:qFormat/>
    <w:rsid w:val="00FC201C"/>
    <w:pPr>
      <w:spacing w:before="120" w:after="240"/>
      <w:ind w:left="990" w:hanging="990"/>
      <w:jc w:val="left"/>
    </w:pPr>
    <w:rPr>
      <w:rFonts w:ascii="Calibri" w:hAnsi="Calibri"/>
      <w:b/>
      <w:color w:val="003F56" w:themeColor="accent6" w:themeShade="80"/>
      <w:sz w:val="22"/>
    </w:rPr>
  </w:style>
  <w:style w:type="paragraph" w:customStyle="1" w:styleId="Caption-Tab">
    <w:name w:val="Caption-Tab"/>
    <w:basedOn w:val="Caption"/>
    <w:next w:val="Normal"/>
    <w:qFormat/>
    <w:rsid w:val="006C3873"/>
    <w:pPr>
      <w:keepNext/>
      <w:spacing w:before="480" w:after="120"/>
      <w:ind w:left="990" w:hanging="990"/>
      <w:jc w:val="left"/>
    </w:pPr>
    <w:rPr>
      <w:rFonts w:ascii="Calibri" w:hAnsi="Calibri"/>
      <w:b/>
      <w:color w:val="003F56" w:themeColor="accent6" w:themeShade="80"/>
      <w:sz w:val="22"/>
    </w:rPr>
  </w:style>
  <w:style w:type="paragraph" w:styleId="Footer">
    <w:name w:val="footer"/>
    <w:basedOn w:val="Header"/>
    <w:link w:val="FooterChar"/>
    <w:uiPriority w:val="99"/>
    <w:unhideWhenUsed/>
    <w:qFormat/>
    <w:rsid w:val="004D41A2"/>
    <w:pPr>
      <w:tabs>
        <w:tab w:val="right" w:pos="10080"/>
      </w:tabs>
      <w:jc w:val="center"/>
    </w:pPr>
  </w:style>
  <w:style w:type="character" w:styleId="FootnoteReference">
    <w:name w:val="footnote reference"/>
    <w:basedOn w:val="DefaultParagraphFont"/>
    <w:uiPriority w:val="2"/>
    <w:unhideWhenUsed/>
    <w:rsid w:val="00D64A64"/>
    <w:rPr>
      <w:rFonts w:ascii="Arial" w:hAnsi="Arial"/>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qFormat/>
    <w:rsid w:val="00204565"/>
    <w:pPr>
      <w:ind w:left="-720" w:right="-720"/>
      <w:jc w:val="right"/>
    </w:pPr>
    <w:rPr>
      <w:rFonts w:asciiTheme="majorHAnsi" w:hAnsiTheme="majorHAnsi"/>
    </w:rPr>
  </w:style>
  <w:style w:type="paragraph" w:customStyle="1" w:styleId="Heading-FrontTOC">
    <w:name w:val="Heading-Front (TOC)"/>
    <w:basedOn w:val="Heading1"/>
    <w:next w:val="BodyText"/>
    <w:uiPriority w:val="1"/>
    <w:qFormat/>
    <w:rsid w:val="000B2EE8"/>
    <w:pPr>
      <w:spacing w:before="0" w:line="264" w:lineRule="auto"/>
    </w:pPr>
    <w:rPr>
      <w:color w:val="auto"/>
    </w:rPr>
  </w:style>
  <w:style w:type="paragraph" w:customStyle="1" w:styleId="HeadingFrontNoTOC">
    <w:name w:val="Heading Front (No TOC)"/>
    <w:basedOn w:val="Heading-FrontTOC"/>
    <w:next w:val="BodyText"/>
    <w:uiPriority w:val="1"/>
    <w:qFormat/>
    <w:rsid w:val="009F756C"/>
    <w:pPr>
      <w:spacing w:after="360"/>
      <w:jc w:val="center"/>
    </w:pPr>
    <w:rPr>
      <w:sz w:val="36"/>
    </w:rPr>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numPr>
        <w:numId w:val="2"/>
      </w:numPr>
      <w:spacing w:before="120"/>
    </w:pPr>
  </w:style>
  <w:style w:type="paragraph" w:styleId="ListBullet">
    <w:name w:val="List Bullet"/>
    <w:basedOn w:val="List"/>
    <w:qFormat/>
    <w:rsid w:val="00512532"/>
    <w:pPr>
      <w:numPr>
        <w:numId w:val="3"/>
      </w:numPr>
      <w:ind w:left="360"/>
    </w:pPr>
  </w:style>
  <w:style w:type="paragraph" w:styleId="ListBullet2">
    <w:name w:val="List Bullet 2"/>
    <w:basedOn w:val="ListBullet"/>
    <w:qFormat/>
    <w:rsid w:val="00EA62AA"/>
    <w:pPr>
      <w:numPr>
        <w:numId w:val="4"/>
      </w:numPr>
    </w:pPr>
  </w:style>
  <w:style w:type="paragraph" w:styleId="ListBullet3">
    <w:name w:val="List Bullet 3"/>
    <w:basedOn w:val="ListBullet2"/>
    <w:qFormat/>
    <w:rsid w:val="00EA62AA"/>
    <w:pPr>
      <w:numPr>
        <w:numId w:val="5"/>
      </w:numPr>
    </w:pPr>
  </w:style>
  <w:style w:type="paragraph" w:customStyle="1" w:styleId="TableText">
    <w:name w:val="TableText"/>
    <w:basedOn w:val="BodyText"/>
    <w:qFormat/>
    <w:rsid w:val="008534B1"/>
    <w:pPr>
      <w:spacing w:before="0"/>
    </w:pPr>
    <w:rPr>
      <w:sz w:val="20"/>
      <w:szCs w:val="20"/>
    </w:rPr>
  </w:style>
  <w:style w:type="paragraph" w:customStyle="1" w:styleId="ListLetter">
    <w:name w:val="List Letter"/>
    <w:uiPriority w:val="99"/>
    <w:unhideWhenUsed/>
    <w:rsid w:val="00EA62AA"/>
    <w:pPr>
      <w:numPr>
        <w:numId w:val="6"/>
      </w:numPr>
      <w:spacing w:before="120"/>
    </w:pPr>
  </w:style>
  <w:style w:type="paragraph" w:styleId="ListNumber">
    <w:name w:val="List Number"/>
    <w:link w:val="ListNumberChar"/>
    <w:uiPriority w:val="99"/>
    <w:unhideWhenUsed/>
    <w:rsid w:val="00F4144C"/>
    <w:pPr>
      <w:numPr>
        <w:numId w:val="7"/>
      </w:numPr>
      <w:spacing w:before="120"/>
    </w:pPr>
    <w:rPr>
      <w:rFonts w:ascii="Calibri" w:hAnsi="Calibri"/>
    </w:rPr>
  </w:style>
  <w:style w:type="character" w:styleId="PageNumber">
    <w:name w:val="page number"/>
    <w:basedOn w:val="DefaultParagraphFont"/>
    <w:uiPriority w:val="2"/>
    <w:unhideWhenUsed/>
    <w:qFormat/>
    <w:rsid w:val="00F61883"/>
    <w:rPr>
      <w:b w:val="0"/>
      <w:noProof/>
      <w:color w:val="003F56" w:themeColor="accent6" w:themeShade="80"/>
      <w:sz w:val="22"/>
    </w:rPr>
  </w:style>
  <w:style w:type="table" w:styleId="TableGrid">
    <w:name w:val="Table Grid"/>
    <w:basedOn w:val="TableNormal"/>
    <w:uiPriority w:val="39"/>
    <w:rsid w:val="001F7071"/>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EA62AA"/>
    <w:pPr>
      <w:ind w:left="220" w:hanging="220"/>
    </w:pPr>
  </w:style>
  <w:style w:type="paragraph" w:styleId="TableofFigures">
    <w:name w:val="table of figures"/>
    <w:basedOn w:val="Normal"/>
    <w:next w:val="Normal"/>
    <w:autoRedefine/>
    <w:uiPriority w:val="98"/>
    <w:qFormat/>
    <w:rsid w:val="00132E6B"/>
    <w:pPr>
      <w:tabs>
        <w:tab w:val="right" w:leader="dot" w:pos="9360"/>
      </w:tabs>
      <w:spacing w:before="80"/>
      <w:ind w:left="1440" w:right="720" w:hanging="1440"/>
    </w:pPr>
    <w:rPr>
      <w:noProof/>
    </w:rPr>
  </w:style>
  <w:style w:type="paragraph" w:customStyle="1" w:styleId="TableTextFootnote">
    <w:name w:val="TableText_Footnote"/>
    <w:basedOn w:val="TableText"/>
    <w:qFormat/>
    <w:rsid w:val="008534B1"/>
    <w:pPr>
      <w:ind w:left="400" w:hanging="400"/>
    </w:pPr>
  </w:style>
  <w:style w:type="paragraph" w:styleId="TOC1">
    <w:name w:val="toc 1"/>
    <w:basedOn w:val="Normal"/>
    <w:next w:val="Normal"/>
    <w:autoRedefine/>
    <w:uiPriority w:val="39"/>
    <w:unhideWhenUsed/>
    <w:qFormat/>
    <w:rsid w:val="0071095F"/>
    <w:pPr>
      <w:keepLines/>
      <w:tabs>
        <w:tab w:val="right" w:leader="dot" w:pos="9360"/>
      </w:tabs>
      <w:spacing w:before="80"/>
      <w:ind w:left="720" w:right="720" w:hanging="720"/>
    </w:pPr>
    <w:rPr>
      <w:noProof/>
    </w:rPr>
  </w:style>
  <w:style w:type="paragraph" w:styleId="TOC2">
    <w:name w:val="toc 2"/>
    <w:basedOn w:val="Normal"/>
    <w:next w:val="Normal"/>
    <w:autoRedefine/>
    <w:uiPriority w:val="39"/>
    <w:unhideWhenUsed/>
    <w:rsid w:val="0071095F"/>
    <w:pPr>
      <w:tabs>
        <w:tab w:val="left" w:pos="1440"/>
        <w:tab w:val="right" w:leader="dot" w:pos="9360"/>
      </w:tabs>
      <w:spacing w:before="80"/>
      <w:ind w:left="1440" w:right="720" w:hanging="720"/>
    </w:pPr>
    <w:rPr>
      <w:noProof/>
    </w:rPr>
  </w:style>
  <w:style w:type="paragraph" w:styleId="TOC3">
    <w:name w:val="toc 3"/>
    <w:basedOn w:val="Normal"/>
    <w:next w:val="Normal"/>
    <w:autoRedefine/>
    <w:uiPriority w:val="39"/>
    <w:unhideWhenUsed/>
    <w:rsid w:val="00DA3334"/>
    <w:pPr>
      <w:tabs>
        <w:tab w:val="right" w:leader="dot" w:pos="9360"/>
      </w:tabs>
      <w:spacing w:before="80"/>
      <w:ind w:left="2340" w:right="720" w:hanging="875"/>
    </w:pPr>
    <w:rPr>
      <w:noProof/>
    </w:rPr>
  </w:style>
  <w:style w:type="paragraph" w:styleId="TOC4">
    <w:name w:val="toc 4"/>
    <w:basedOn w:val="TOC1"/>
    <w:next w:val="Normal"/>
    <w:autoRedefine/>
    <w:uiPriority w:val="39"/>
    <w:qFormat/>
    <w:rsid w:val="00DA3334"/>
    <w:pPr>
      <w:ind w:left="3240" w:hanging="911"/>
    </w:pPr>
  </w:style>
  <w:style w:type="paragraph" w:styleId="TOC5">
    <w:name w:val="toc 5"/>
    <w:basedOn w:val="Normal"/>
    <w:next w:val="Normal"/>
    <w:autoRedefine/>
    <w:uiPriority w:val="99"/>
    <w:semiHidden/>
    <w:qFormat/>
    <w:rsid w:val="00EA62AA"/>
    <w:pPr>
      <w:ind w:left="880"/>
    </w:pPr>
  </w:style>
  <w:style w:type="paragraph" w:styleId="TOC6">
    <w:name w:val="toc 6"/>
    <w:basedOn w:val="Normal"/>
    <w:next w:val="Normal"/>
    <w:autoRedefine/>
    <w:uiPriority w:val="99"/>
    <w:semiHidden/>
    <w:qFormat/>
    <w:rsid w:val="00EA62AA"/>
    <w:pPr>
      <w:tabs>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TextDecimal">
    <w:name w:val="TableText_Decimal"/>
    <w:basedOn w:val="TableText"/>
    <w:qFormat/>
    <w:rsid w:val="008534B1"/>
    <w:pPr>
      <w:tabs>
        <w:tab w:val="decimal" w:pos="456"/>
      </w:tabs>
    </w:pPr>
  </w:style>
  <w:style w:type="character" w:customStyle="1" w:styleId="BodyTextChar">
    <w:name w:val="Body Text Char"/>
    <w:basedOn w:val="DefaultParagraphFont"/>
    <w:link w:val="BodyText"/>
    <w:rsid w:val="00E74568"/>
    <w:rPr>
      <w:rFonts w:ascii="Calibri" w:eastAsiaTheme="minorHAnsi" w:hAnsi="Calibri" w:cstheme="minorBidi"/>
    </w:rPr>
  </w:style>
  <w:style w:type="character" w:customStyle="1" w:styleId="HeaderChar">
    <w:name w:val="Header Char"/>
    <w:basedOn w:val="DefaultParagraphFont"/>
    <w:link w:val="Header"/>
    <w:uiPriority w:val="99"/>
    <w:rsid w:val="00204565"/>
    <w:rPr>
      <w:rFonts w:asciiTheme="majorHAnsi" w:hAnsiTheme="majorHAnsi"/>
    </w:rPr>
  </w:style>
  <w:style w:type="character" w:customStyle="1" w:styleId="FooterChar">
    <w:name w:val="Footer Char"/>
    <w:basedOn w:val="DefaultParagraphFont"/>
    <w:link w:val="Footer"/>
    <w:uiPriority w:val="99"/>
    <w:rsid w:val="004D41A2"/>
  </w:style>
  <w:style w:type="paragraph" w:styleId="TOC9">
    <w:name w:val="toc 9"/>
    <w:basedOn w:val="TOC1"/>
    <w:next w:val="Normal"/>
    <w:autoRedefine/>
    <w:uiPriority w:val="39"/>
    <w:unhideWhenUsed/>
    <w:qFormat/>
    <w:rsid w:val="007F78D4"/>
  </w:style>
  <w:style w:type="paragraph" w:customStyle="1" w:styleId="distr">
    <w:name w:val="distr"/>
    <w:basedOn w:val="Normal"/>
    <w:uiPriority w:val="99"/>
    <w:qFormat/>
    <w:rsid w:val="006022C1"/>
    <w:pPr>
      <w:tabs>
        <w:tab w:val="left" w:pos="900"/>
        <w:tab w:val="right" w:pos="3960"/>
      </w:tabs>
      <w:ind w:left="720" w:hanging="360"/>
    </w:pPr>
  </w:style>
  <w:style w:type="paragraph" w:customStyle="1" w:styleId="WhiteCoverPNNLPreparedFor">
    <w:name w:val="White_Cover_PNNL_Prepared_For"/>
    <w:basedOn w:val="Normal"/>
    <w:qFormat/>
    <w:rsid w:val="00845877"/>
    <w:pPr>
      <w:framePr w:hSpace="187" w:wrap="around" w:hAnchor="margin" w:yAlign="bottom"/>
      <w:tabs>
        <w:tab w:val="left" w:pos="2160"/>
        <w:tab w:val="left" w:pos="4680"/>
      </w:tabs>
      <w:spacing w:before="240" w:line="264" w:lineRule="auto"/>
      <w:suppressOverlap/>
    </w:pPr>
    <w:rPr>
      <w:rFonts w:asciiTheme="majorHAnsi" w:eastAsiaTheme="minorEastAsia" w:hAnsiTheme="majorHAnsi"/>
      <w:sz w:val="14"/>
      <w:szCs w:val="24"/>
    </w:rPr>
  </w:style>
  <w:style w:type="character" w:styleId="EndnoteReference">
    <w:name w:val="endnote reference"/>
    <w:basedOn w:val="DefaultParagraphFont"/>
    <w:uiPriority w:val="2"/>
    <w:unhideWhenUsed/>
    <w:rsid w:val="00D64A64"/>
    <w:rPr>
      <w:rFonts w:ascii="Arial" w:hAnsi="Arial"/>
      <w:vertAlign w:val="superscript"/>
    </w:rPr>
  </w:style>
  <w:style w:type="paragraph" w:customStyle="1" w:styleId="Figure">
    <w:name w:val="Figure"/>
    <w:basedOn w:val="Normal"/>
    <w:next w:val="Caption-Fig"/>
    <w:qFormat/>
    <w:rsid w:val="008C2FB6"/>
    <w:pPr>
      <w:keepNext/>
      <w:spacing w:before="240"/>
      <w:ind w:left="-720" w:right="-72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spacing w:before="480" w:after="0" w:line="276" w:lineRule="auto"/>
      <w:outlineLvl w:val="9"/>
    </w:pPr>
    <w:rPr>
      <w:rFonts w:ascii="Cambria" w:hAnsi="Cambria"/>
      <w:bCs/>
      <w:color w:val="365F91"/>
      <w:kern w:val="0"/>
      <w:sz w:val="28"/>
      <w:szCs w:val="28"/>
    </w:rPr>
  </w:style>
  <w:style w:type="paragraph" w:customStyle="1" w:styleId="PNNLTitlePageTitle">
    <w:name w:val="PNNL_Title_Page_Title"/>
    <w:basedOn w:val="Normal"/>
    <w:uiPriority w:val="99"/>
    <w:qFormat/>
    <w:rsid w:val="001F7071"/>
    <w:rPr>
      <w:rFonts w:asciiTheme="majorHAnsi" w:hAnsiTheme="majorHAnsi" w:cs="Arial"/>
      <w:b/>
      <w:w w:val="104"/>
      <w:sz w:val="40"/>
      <w:szCs w:val="40"/>
    </w:rPr>
  </w:style>
  <w:style w:type="paragraph" w:customStyle="1" w:styleId="PNNLTitle-PageText">
    <w:name w:val="PNNL_Title-Page_Text"/>
    <w:basedOn w:val="Normal"/>
    <w:uiPriority w:val="99"/>
    <w:qFormat/>
    <w:rsid w:val="001F7071"/>
    <w:pPr>
      <w:tabs>
        <w:tab w:val="left" w:pos="2880"/>
      </w:tabs>
    </w:pPr>
    <w:rPr>
      <w:rFonts w:asciiTheme="majorHAnsi" w:hAnsiTheme="majorHAnsi"/>
      <w:szCs w:val="24"/>
    </w:rPr>
  </w:style>
  <w:style w:type="paragraph" w:customStyle="1" w:styleId="Equation">
    <w:name w:val="Equation"/>
    <w:basedOn w:val="BodyText"/>
    <w:uiPriority w:val="2"/>
    <w:qFormat/>
    <w:rsid w:val="00962770"/>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paragraph" w:customStyle="1" w:styleId="wherestatement">
    <w:name w:val="where statement"/>
    <w:basedOn w:val="Normal"/>
    <w:qFormat/>
    <w:rsid w:val="00EA62AA"/>
    <w:pPr>
      <w:tabs>
        <w:tab w:val="right" w:pos="1530"/>
        <w:tab w:val="left" w:pos="1710"/>
        <w:tab w:val="left" w:pos="2070"/>
      </w:tabs>
      <w:ind w:left="2074" w:hanging="2074"/>
    </w:pPr>
  </w:style>
  <w:style w:type="character" w:customStyle="1" w:styleId="Heading6Char">
    <w:name w:val="Heading 6 Char"/>
    <w:basedOn w:val="DefaultParagraphFont"/>
    <w:link w:val="Heading6"/>
    <w:uiPriority w:val="1"/>
    <w:rsid w:val="00E275A1"/>
    <w:rPr>
      <w:rFonts w:asciiTheme="majorHAnsi" w:hAnsiTheme="majorHAnsi"/>
      <w:b/>
      <w:color w:val="D57500" w:themeColor="text2"/>
      <w:sz w:val="32"/>
    </w:rPr>
  </w:style>
  <w:style w:type="character" w:customStyle="1" w:styleId="Heading1Char">
    <w:name w:val="Heading 1 Char"/>
    <w:basedOn w:val="DefaultParagraphFont"/>
    <w:link w:val="Heading1"/>
    <w:uiPriority w:val="1"/>
    <w:rsid w:val="00F4144C"/>
    <w:rPr>
      <w:rFonts w:ascii="Calibri" w:hAnsi="Calibri"/>
      <w:b/>
      <w:color w:val="003F56" w:themeColor="accent6" w:themeShade="80"/>
      <w:kern w:val="28"/>
      <w:sz w:val="32"/>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uiPriority w:val="99"/>
    <w:rsid w:val="00F4144C"/>
    <w:rPr>
      <w:rFonts w:ascii="Calibri" w:hAnsi="Calibri"/>
    </w:rPr>
  </w:style>
  <w:style w:type="paragraph" w:customStyle="1" w:styleId="HeaderCover">
    <w:name w:val="HeaderCover"/>
    <w:basedOn w:val="Header"/>
    <w:semiHidden/>
    <w:qFormat/>
    <w:rsid w:val="00EA62AA"/>
    <w:pPr>
      <w:tabs>
        <w:tab w:val="center" w:pos="7920"/>
      </w:tabs>
    </w:pPr>
  </w:style>
  <w:style w:type="paragraph" w:customStyle="1" w:styleId="PNNLTitlePageSubtitle">
    <w:name w:val="PNNL_Title_Page_Subtitle"/>
    <w:basedOn w:val="PNNLTitle-PageText"/>
    <w:uiPriority w:val="99"/>
    <w:qFormat/>
    <w:rsid w:val="001F7071"/>
    <w:pPr>
      <w:spacing w:before="240"/>
    </w:pPr>
    <w:rPr>
      <w:sz w:val="28"/>
    </w:rPr>
  </w:style>
  <w:style w:type="character" w:styleId="PlaceholderText">
    <w:name w:val="Placeholder Text"/>
    <w:basedOn w:val="DefaultParagraphFont"/>
    <w:uiPriority w:val="99"/>
    <w:semiHidden/>
    <w:rsid w:val="001F1D25"/>
    <w:rPr>
      <w:color w:val="808080"/>
    </w:rPr>
  </w:style>
  <w:style w:type="paragraph" w:customStyle="1" w:styleId="TextBoxHeader">
    <w:name w:val="Text Box Header"/>
    <w:basedOn w:val="Normal"/>
    <w:qFormat/>
    <w:rsid w:val="001F7071"/>
    <w:rPr>
      <w:rFonts w:asciiTheme="majorHAnsi" w:hAnsiTheme="majorHAnsi"/>
      <w:b/>
      <w:color w:val="D57500" w:themeColor="text2"/>
      <w:sz w:val="28"/>
    </w:rPr>
  </w:style>
  <w:style w:type="table" w:customStyle="1" w:styleId="PNNLSingleHeaderRowFootnote">
    <w:name w:val="PNNL_Single_Header_Row_Footnote"/>
    <w:basedOn w:val="TableNormal"/>
    <w:uiPriority w:val="99"/>
    <w:rsid w:val="00FC204B"/>
    <w:rPr>
      <w:rFonts w:asciiTheme="minorHAnsi" w:hAnsiTheme="minorHAnsi"/>
      <w:sz w:val="20"/>
    </w:rPr>
    <w:tblPr>
      <w:tblStyleRowBandSize w:val="1"/>
      <w:jc w:val="center"/>
      <w:tblBorders>
        <w:bottom w:val="single" w:sz="8" w:space="0" w:color="D57500" w:themeColor="text2"/>
      </w:tblBorders>
      <w:tblCellMar>
        <w:top w:w="29" w:type="dxa"/>
        <w:left w:w="58" w:type="dxa"/>
        <w:bottom w:w="29" w:type="dxa"/>
        <w:right w:w="58" w:type="dxa"/>
      </w:tblCellMar>
    </w:tblPr>
    <w:trPr>
      <w:jc w:val="center"/>
    </w:tr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val="0"/>
        <w:sz w:val="20"/>
      </w:rPr>
      <w:tblPr/>
      <w:tcPr>
        <w:tcBorders>
          <w:top w:val="single" w:sz="8" w:space="0" w:color="D57500" w:themeColor="text2"/>
          <w:left w:val="nil"/>
          <w:bottom w:val="single" w:sz="8" w:space="0" w:color="D57500" w:themeColor="text2"/>
          <w:right w:val="nil"/>
          <w:insideH w:val="nil"/>
          <w:insideV w:val="nil"/>
          <w:tl2br w:val="nil"/>
          <w:tr2bl w:val="nil"/>
        </w:tcBorders>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D57500" w:themeColor="text2"/>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table" w:customStyle="1" w:styleId="PNNLSolidHeaderRow">
    <w:name w:val="PNNL_Solid_Header_Row"/>
    <w:basedOn w:val="PNNLSingleHeaderRowFootnote"/>
    <w:uiPriority w:val="99"/>
    <w:rsid w:val="00FC204B"/>
    <w:rPr>
      <w:color w:val="000000"/>
    </w:rPr>
    <w:tblPr>
      <w:tblStyleColBandSize w:val="1"/>
      <w:tblBorders>
        <w:bottom w:val="single" w:sz="4" w:space="0" w:color="auto"/>
      </w:tblBorders>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D57500" w:themeFill="text2"/>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paragraph" w:styleId="NoSpacing">
    <w:name w:val="No Spacing"/>
    <w:link w:val="NoSpacingChar"/>
    <w:uiPriority w:val="1"/>
    <w:qFormat/>
    <w:rsid w:val="00586E5F"/>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86E5F"/>
    <w:rPr>
      <w:rFonts w:asciiTheme="minorHAnsi" w:eastAsiaTheme="minorEastAsia" w:hAnsiTheme="minorHAnsi" w:cstheme="minorBidi"/>
    </w:rPr>
  </w:style>
  <w:style w:type="paragraph" w:customStyle="1" w:styleId="disclaimer">
    <w:name w:val="disclaimer"/>
    <w:basedOn w:val="Normal"/>
    <w:qFormat/>
    <w:rsid w:val="00D61CDA"/>
    <w:pPr>
      <w:autoSpaceDE w:val="0"/>
      <w:autoSpaceDN w:val="0"/>
      <w:adjustRightInd w:val="0"/>
      <w:spacing w:before="240"/>
      <w:ind w:left="1440" w:right="1440"/>
      <w:jc w:val="both"/>
    </w:pPr>
    <w:rPr>
      <w:color w:val="000000"/>
      <w:sz w:val="20"/>
      <w:szCs w:val="20"/>
    </w:rPr>
  </w:style>
  <w:style w:type="paragraph" w:customStyle="1" w:styleId="reference">
    <w:name w:val="reference"/>
    <w:basedOn w:val="BodyText"/>
    <w:link w:val="referenceChar"/>
    <w:qFormat/>
    <w:rsid w:val="006022C1"/>
  </w:style>
  <w:style w:type="character" w:styleId="UnresolvedMention">
    <w:name w:val="Unresolved Mention"/>
    <w:basedOn w:val="DefaultParagraphFont"/>
    <w:uiPriority w:val="99"/>
    <w:semiHidden/>
    <w:unhideWhenUsed/>
    <w:rsid w:val="006022C1"/>
    <w:rPr>
      <w:color w:val="808080"/>
      <w:shd w:val="clear" w:color="auto" w:fill="E6E6E6"/>
    </w:rPr>
  </w:style>
  <w:style w:type="character" w:customStyle="1" w:styleId="referenceChar">
    <w:name w:val="reference Char"/>
    <w:basedOn w:val="BodyTextChar"/>
    <w:link w:val="reference"/>
    <w:rsid w:val="00A24659"/>
    <w:rPr>
      <w:rFonts w:asciiTheme="minorHAnsi" w:eastAsiaTheme="minorHAnsi" w:hAnsiTheme="minorHAnsi" w:cstheme="minorBidi"/>
    </w:rPr>
  </w:style>
  <w:style w:type="paragraph" w:customStyle="1" w:styleId="CoverImage">
    <w:name w:val="CoverImage"/>
    <w:basedOn w:val="Normal"/>
    <w:qFormat/>
    <w:rsid w:val="00863E19"/>
    <w:pPr>
      <w:ind w:left="-1440" w:right="-1440"/>
    </w:pPr>
    <w:rPr>
      <w:noProof/>
    </w:rPr>
  </w:style>
  <w:style w:type="paragraph" w:customStyle="1" w:styleId="PNNLCoverContract">
    <w:name w:val="PNNL_Cover_Contract"/>
    <w:basedOn w:val="CoverImage"/>
    <w:qFormat/>
    <w:rsid w:val="0091430F"/>
    <w:pPr>
      <w:ind w:left="0" w:right="0"/>
    </w:pPr>
    <w:rPr>
      <w:sz w:val="14"/>
      <w:szCs w:val="14"/>
    </w:rPr>
  </w:style>
  <w:style w:type="paragraph" w:customStyle="1" w:styleId="PNNLCoverDate">
    <w:name w:val="PNNL_Cover_Date"/>
    <w:basedOn w:val="Normal"/>
    <w:qFormat/>
    <w:rsid w:val="0091430F"/>
    <w:pPr>
      <w:tabs>
        <w:tab w:val="center" w:pos="5400"/>
      </w:tabs>
      <w:spacing w:before="240" w:after="520"/>
    </w:pPr>
    <w:rPr>
      <w:rFonts w:asciiTheme="majorHAnsi" w:eastAsiaTheme="minorEastAsia" w:hAnsiTheme="majorHAnsi"/>
      <w:sz w:val="36"/>
      <w:szCs w:val="24"/>
    </w:rPr>
  </w:style>
  <w:style w:type="paragraph" w:customStyle="1" w:styleId="PNNLCoverSubtitle">
    <w:name w:val="PNNL_Cover_Subtitle"/>
    <w:basedOn w:val="Normal"/>
    <w:qFormat/>
    <w:rsid w:val="0091430F"/>
    <w:pPr>
      <w:tabs>
        <w:tab w:val="left" w:pos="2700"/>
      </w:tabs>
      <w:spacing w:before="240" w:after="240"/>
    </w:pPr>
    <w:rPr>
      <w:rFonts w:asciiTheme="majorHAnsi" w:eastAsiaTheme="minorEastAsia" w:hAnsiTheme="majorHAnsi"/>
      <w:sz w:val="40"/>
      <w:szCs w:val="24"/>
    </w:rPr>
  </w:style>
  <w:style w:type="paragraph" w:customStyle="1" w:styleId="PNNLCoverTitle">
    <w:name w:val="PNNL_Cover_Title"/>
    <w:qFormat/>
    <w:rsid w:val="00E74A07"/>
    <w:rPr>
      <w:rFonts w:asciiTheme="majorHAnsi" w:hAnsiTheme="majorHAnsi" w:cs="Arial"/>
      <w:b/>
      <w:color w:val="D57500" w:themeColor="text2"/>
      <w:sz w:val="56"/>
      <w:szCs w:val="70"/>
    </w:rPr>
  </w:style>
  <w:style w:type="paragraph" w:customStyle="1" w:styleId="PNNLCoverNumber">
    <w:name w:val="PNNL_Cover_Number"/>
    <w:basedOn w:val="Normal"/>
    <w:qFormat/>
    <w:rsid w:val="0091430F"/>
    <w:pPr>
      <w:jc w:val="center"/>
    </w:pPr>
    <w:rPr>
      <w:rFonts w:ascii="Arial Narrow" w:hAnsi="Arial Narrow"/>
      <w:sz w:val="18"/>
    </w:rPr>
  </w:style>
  <w:style w:type="paragraph" w:customStyle="1" w:styleId="PNNLCoverAuthors">
    <w:name w:val="PNNL_Cover_Authors"/>
    <w:basedOn w:val="Normal"/>
    <w:qFormat/>
    <w:rsid w:val="0091430F"/>
    <w:pPr>
      <w:tabs>
        <w:tab w:val="left" w:pos="2160"/>
        <w:tab w:val="left" w:pos="4680"/>
      </w:tabs>
      <w:spacing w:line="264" w:lineRule="auto"/>
    </w:pPr>
    <w:rPr>
      <w:rFonts w:asciiTheme="majorHAnsi" w:eastAsiaTheme="minorEastAsia" w:hAnsiTheme="majorHAnsi"/>
      <w:sz w:val="28"/>
      <w:szCs w:val="24"/>
    </w:rPr>
  </w:style>
  <w:style w:type="paragraph" w:customStyle="1" w:styleId="PNNLCoverImage">
    <w:name w:val="PNNL_Cover_Image"/>
    <w:basedOn w:val="Normal"/>
    <w:qFormat/>
    <w:rsid w:val="00DA04B8"/>
    <w:pPr>
      <w:ind w:left="-1440" w:right="-1440"/>
    </w:pPr>
    <w:rPr>
      <w:noProof/>
    </w:rPr>
  </w:style>
  <w:style w:type="paragraph" w:customStyle="1" w:styleId="PNNLBackCover">
    <w:name w:val="PNNL_Back_Cover"/>
    <w:basedOn w:val="Normal"/>
    <w:uiPriority w:val="99"/>
    <w:qFormat/>
    <w:rsid w:val="0091430F"/>
    <w:pPr>
      <w:spacing w:after="240"/>
      <w:ind w:left="-630"/>
    </w:pPr>
    <w:rPr>
      <w:rFonts w:asciiTheme="majorHAnsi" w:hAnsiTheme="majorHAnsi"/>
      <w:b/>
      <w:noProof/>
      <w:sz w:val="40"/>
      <w:szCs w:val="26"/>
    </w:rPr>
  </w:style>
  <w:style w:type="paragraph" w:customStyle="1" w:styleId="PNNLBackCoverAddress">
    <w:name w:val="PNNL_Back_Cover_Address"/>
    <w:basedOn w:val="Normal"/>
    <w:uiPriority w:val="99"/>
    <w:qFormat/>
    <w:rsid w:val="0091430F"/>
    <w:pPr>
      <w:spacing w:line="288" w:lineRule="auto"/>
      <w:ind w:left="-630"/>
    </w:pPr>
    <w:rPr>
      <w:noProof/>
    </w:rPr>
  </w:style>
  <w:style w:type="paragraph" w:customStyle="1" w:styleId="PNNLBackCoverWeb">
    <w:name w:val="PNNL_Back_Cover_Web"/>
    <w:basedOn w:val="Normal"/>
    <w:uiPriority w:val="99"/>
    <w:qFormat/>
    <w:rsid w:val="0091430F"/>
    <w:pPr>
      <w:spacing w:before="240"/>
      <w:ind w:left="-634"/>
    </w:pPr>
  </w:style>
  <w:style w:type="paragraph" w:customStyle="1" w:styleId="CoverPNNLNumber">
    <w:name w:val="Cover_PNNL_Number"/>
    <w:basedOn w:val="Normal"/>
    <w:link w:val="CoverPNNLNumberChar"/>
    <w:qFormat/>
    <w:rsid w:val="00F4300A"/>
    <w:rPr>
      <w:rFonts w:ascii="Arial Narrow" w:hAnsi="Arial Narrow"/>
      <w:sz w:val="18"/>
    </w:rPr>
  </w:style>
  <w:style w:type="character" w:customStyle="1" w:styleId="CoverPNNLNumberChar">
    <w:name w:val="Cover_PNNL_Number Char"/>
    <w:basedOn w:val="DefaultParagraphFont"/>
    <w:link w:val="CoverPNNLNumber"/>
    <w:rsid w:val="00F4300A"/>
    <w:rPr>
      <w:rFonts w:ascii="Arial Narrow" w:hAnsi="Arial Narrow"/>
      <w:sz w:val="18"/>
    </w:rPr>
  </w:style>
  <w:style w:type="table" w:customStyle="1" w:styleId="PNNLClassic">
    <w:name w:val="PNNL_Classic"/>
    <w:basedOn w:val="TableNormal"/>
    <w:uiPriority w:val="99"/>
    <w:rsid w:val="002649C4"/>
    <w:rPr>
      <w:sz w:val="20"/>
    </w:rPr>
    <w:tblPr>
      <w:tblStyleRowBandSize w:val="1"/>
      <w:jc w:val="center"/>
      <w:tblBorders>
        <w:top w:val="single" w:sz="4" w:space="0" w:color="auto"/>
        <w:bottom w:val="single" w:sz="4" w:space="0" w:color="auto"/>
      </w:tblBorders>
      <w:tblCellMar>
        <w:top w:w="29" w:type="dxa"/>
        <w:left w:w="58" w:type="dxa"/>
        <w:bottom w:w="29" w:type="dxa"/>
        <w:right w:w="58" w:type="dxa"/>
      </w:tblCellMar>
    </w:tblPr>
    <w:trPr>
      <w:jc w:val="center"/>
    </w:trPr>
    <w:tblStylePr w:type="firstRow">
      <w:pPr>
        <w:jc w:val="center"/>
      </w:pPr>
      <w:rPr>
        <w:rFonts w:asciiTheme="minorHAnsi" w:hAnsiTheme="minorHAnsi"/>
        <w:sz w:val="20"/>
      </w:rPr>
      <w:tblPr/>
      <w:tcPr>
        <w:tcBorders>
          <w:top w:val="single" w:sz="4" w:space="0" w:color="auto"/>
          <w:bottom w:val="single" w:sz="4" w:space="0" w:color="auto"/>
        </w:tcBorders>
        <w:vAlign w:val="bottom"/>
      </w:tcPr>
    </w:tblStylePr>
    <w:tblStylePr w:type="lastRow">
      <w:tblPr/>
      <w:tcPr>
        <w:tcBorders>
          <w:top w:val="single" w:sz="4" w:space="0" w:color="auto"/>
        </w:tcBorders>
      </w:tcPr>
    </w:tblStylePr>
    <w:tblStylePr w:type="band2Horz">
      <w:tblPr/>
      <w:tcPr>
        <w:shd w:val="clear" w:color="auto" w:fill="D9D9D9" w:themeFill="background1" w:themeFillShade="D9"/>
      </w:tcPr>
    </w:tblStylePr>
  </w:style>
  <w:style w:type="paragraph" w:styleId="ListParagraph">
    <w:name w:val="List Paragraph"/>
    <w:basedOn w:val="Normal"/>
    <w:uiPriority w:val="34"/>
    <w:qFormat/>
    <w:rsid w:val="00D83231"/>
    <w:pPr>
      <w:numPr>
        <w:numId w:val="8"/>
      </w:numPr>
      <w:contextualSpacing/>
    </w:pPr>
  </w:style>
  <w:style w:type="character" w:styleId="CommentReference">
    <w:name w:val="annotation reference"/>
    <w:basedOn w:val="DefaultParagraphFont"/>
    <w:uiPriority w:val="99"/>
    <w:semiHidden/>
    <w:unhideWhenUsed/>
    <w:rsid w:val="00D83231"/>
    <w:rPr>
      <w:sz w:val="16"/>
      <w:szCs w:val="16"/>
    </w:rPr>
  </w:style>
  <w:style w:type="paragraph" w:styleId="CommentText">
    <w:name w:val="annotation text"/>
    <w:basedOn w:val="Normal"/>
    <w:link w:val="CommentTextChar"/>
    <w:uiPriority w:val="99"/>
    <w:semiHidden/>
    <w:unhideWhenUsed/>
    <w:rsid w:val="00D83231"/>
    <w:rPr>
      <w:sz w:val="20"/>
      <w:szCs w:val="20"/>
    </w:rPr>
  </w:style>
  <w:style w:type="character" w:customStyle="1" w:styleId="CommentTextChar">
    <w:name w:val="Comment Text Char"/>
    <w:basedOn w:val="DefaultParagraphFont"/>
    <w:link w:val="CommentText"/>
    <w:uiPriority w:val="99"/>
    <w:semiHidden/>
    <w:rsid w:val="00D83231"/>
    <w:rPr>
      <w:rFonts w:ascii="Times New Roman" w:eastAsiaTheme="minorHAnsi" w:hAnsi="Times New Roman" w:cstheme="minorBidi"/>
      <w:sz w:val="20"/>
      <w:szCs w:val="20"/>
    </w:rPr>
  </w:style>
  <w:style w:type="paragraph" w:styleId="CommentSubject">
    <w:name w:val="annotation subject"/>
    <w:basedOn w:val="CommentText"/>
    <w:next w:val="CommentText"/>
    <w:link w:val="CommentSubjectChar"/>
    <w:semiHidden/>
    <w:unhideWhenUsed/>
    <w:rsid w:val="00ED3808"/>
    <w:pPr>
      <w:spacing w:line="240" w:lineRule="auto"/>
    </w:pPr>
    <w:rPr>
      <w:b/>
      <w:bCs/>
    </w:rPr>
  </w:style>
  <w:style w:type="character" w:customStyle="1" w:styleId="CommentSubjectChar">
    <w:name w:val="Comment Subject Char"/>
    <w:basedOn w:val="CommentTextChar"/>
    <w:link w:val="CommentSubject"/>
    <w:semiHidden/>
    <w:rsid w:val="00ED3808"/>
    <w:rPr>
      <w:rFonts w:ascii="Times New Roman" w:eastAsiaTheme="minorHAnsi" w:hAnsi="Times New Roman"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oi.org/10.1080/15502724.2018.1541748"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apps1.eere.energy.gov/buildings/publications/pdfs/ssl/2012_LED_Lifecycle_Report.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iso.org/standard/37456.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doi.org/10.1007/978-94-015-9900-9"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pnnl.gov/main/publications/external/technical_reports/PNNL-21443.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NNL\Office\Templates\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BEFF36D3DB40DA877C5E6C13C3049B"/>
        <w:category>
          <w:name w:val="General"/>
          <w:gallery w:val="placeholder"/>
        </w:category>
        <w:types>
          <w:type w:val="bbPlcHdr"/>
        </w:types>
        <w:behaviors>
          <w:behavior w:val="content"/>
        </w:behaviors>
        <w:guid w:val="{F92CDB16-F8B5-4975-8520-4D6781F3DCEC}"/>
      </w:docPartPr>
      <w:docPartBody>
        <w:p w:rsidR="006049A3" w:rsidRDefault="0017154A">
          <w:pPr>
            <w:pStyle w:val="9DBEFF36D3DB40DA877C5E6C13C3049B"/>
          </w:pPr>
          <w:r w:rsidRPr="001E62C4">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3"/>
    <w:rsid w:val="000C6E7B"/>
    <w:rsid w:val="0017154A"/>
    <w:rsid w:val="00563CB4"/>
    <w:rsid w:val="006049A3"/>
    <w:rsid w:val="009B6021"/>
    <w:rsid w:val="00C90050"/>
    <w:rsid w:val="00D7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BC654B6C0E46A39225669759F28635">
    <w:name w:val="4DBC654B6C0E46A39225669759F28635"/>
  </w:style>
  <w:style w:type="paragraph" w:customStyle="1" w:styleId="6CC6DFCDD99E42C7ACB0659D7C6CC626">
    <w:name w:val="6CC6DFCDD99E42C7ACB0659D7C6CC626"/>
  </w:style>
  <w:style w:type="paragraph" w:customStyle="1" w:styleId="1F1DADAADB7B45AE9F1E0F7FC14DEA6A">
    <w:name w:val="1F1DADAADB7B45AE9F1E0F7FC14DEA6A"/>
  </w:style>
  <w:style w:type="paragraph" w:customStyle="1" w:styleId="B86D8A5C2C354CAA8B86398F8785BBD4">
    <w:name w:val="B86D8A5C2C354CAA8B86398F8785BBD4"/>
  </w:style>
  <w:style w:type="paragraph" w:customStyle="1" w:styleId="E98B7AB0E0704E30B28B6E5419371553">
    <w:name w:val="E98B7AB0E0704E30B28B6E5419371553"/>
  </w:style>
  <w:style w:type="paragraph" w:customStyle="1" w:styleId="55FFA57959574F2B9323A288B257C3E0">
    <w:name w:val="55FFA57959574F2B9323A288B257C3E0"/>
  </w:style>
  <w:style w:type="paragraph" w:customStyle="1" w:styleId="0DCA9356D8CB4C69BB66B3B75E740FAF">
    <w:name w:val="0DCA9356D8CB4C69BB66B3B75E740FAF"/>
  </w:style>
  <w:style w:type="paragraph" w:customStyle="1" w:styleId="BCD2C8A29F8E4862809EEFB646AF85A4">
    <w:name w:val="BCD2C8A29F8E4862809EEFB646AF85A4"/>
  </w:style>
  <w:style w:type="character" w:styleId="Hyperlink">
    <w:name w:val="Hyperlink"/>
    <w:basedOn w:val="DefaultParagraphFont"/>
    <w:uiPriority w:val="99"/>
    <w:unhideWhenUsed/>
    <w:rPr>
      <w:color w:val="0000FF"/>
      <w:u w:val="single"/>
    </w:rPr>
  </w:style>
  <w:style w:type="paragraph" w:customStyle="1" w:styleId="E0B9450AC2D44FEE9E23972735AB1391">
    <w:name w:val="E0B9450AC2D44FEE9E23972735AB1391"/>
  </w:style>
  <w:style w:type="paragraph" w:customStyle="1" w:styleId="1E2142A2E89C4BCC9E15782DCB8EA6E0">
    <w:name w:val="1E2142A2E89C4BCC9E15782DCB8EA6E0"/>
  </w:style>
  <w:style w:type="paragraph" w:customStyle="1" w:styleId="701A3E5C4C3C45E4806421C6A3AF6ACA">
    <w:name w:val="701A3E5C4C3C45E4806421C6A3AF6ACA"/>
  </w:style>
  <w:style w:type="paragraph" w:customStyle="1" w:styleId="11DDD3CBA17C448B8AB504901D317449">
    <w:name w:val="11DDD3CBA17C448B8AB504901D317449"/>
  </w:style>
  <w:style w:type="paragraph" w:customStyle="1" w:styleId="0323FD114996402D8E2F3769FEDB538F">
    <w:name w:val="0323FD114996402D8E2F3769FEDB538F"/>
  </w:style>
  <w:style w:type="paragraph" w:customStyle="1" w:styleId="81A01329F4A1481093233EC7E9BF6863">
    <w:name w:val="81A01329F4A1481093233EC7E9BF6863"/>
  </w:style>
  <w:style w:type="paragraph" w:customStyle="1" w:styleId="B3D4EA72A2B0436FB2BDA2C966F859AD">
    <w:name w:val="B3D4EA72A2B0436FB2BDA2C966F859AD"/>
  </w:style>
  <w:style w:type="paragraph" w:customStyle="1" w:styleId="49418BF27A324759941F6967CBA1A324">
    <w:name w:val="49418BF27A324759941F6967CBA1A324"/>
  </w:style>
  <w:style w:type="paragraph" w:customStyle="1" w:styleId="D8F5098D38DF4EE6895B567AAF347CEC">
    <w:name w:val="D8F5098D38DF4EE6895B567AAF347CEC"/>
  </w:style>
  <w:style w:type="paragraph" w:customStyle="1" w:styleId="2C9B421BBC8D4624BDB34C9A510AEE99">
    <w:name w:val="2C9B421BBC8D4624BDB34C9A510AEE99"/>
  </w:style>
  <w:style w:type="paragraph" w:customStyle="1" w:styleId="FDE4CAAADE0542259FAAE591A6D0ABEC">
    <w:name w:val="FDE4CAAADE0542259FAAE591A6D0ABEC"/>
  </w:style>
  <w:style w:type="paragraph" w:customStyle="1" w:styleId="9DBEFF36D3DB40DA877C5E6C13C3049B">
    <w:name w:val="9DBEFF36D3DB40DA877C5E6C13C3049B"/>
  </w:style>
  <w:style w:type="paragraph" w:customStyle="1" w:styleId="3A55C481385E4861B70D751F463F9009">
    <w:name w:val="3A55C481385E4861B70D751F463F9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rojectDoc xmlns="PNNL_Template">
  <PNNL_Template>
    <PNNL_Content_Controls>
      <PNNL_Contract>Prepared for and Contract</PNNL_Contract>
      <PNNL_Designation/>
      <PNNL_Title>Enter Title Here</PNNL_Title>
      <PNNL_Subtitle>Enter Subtitle Here (or delete)</PNNL_Subtitle>
      <PNNL_Date>Publish Date (Month Year)</PNNL_Date>
      <PNNL_Authors>1First M Last 
2First M Last
3First M Last
4First M Last
</PNNL_Authors>
      <PNNL_Number>PNNL-XXXXX</PNNL_Number>
    </PNNL_Content_Controls>
  </PNNL_Template>
</projectDo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8B612D56D8FEF429FF08DBD05A11435" ma:contentTypeVersion="8" ma:contentTypeDescription="Create a new document." ma:contentTypeScope="" ma:versionID="7b8495167fc335b5c64fbf047531a2fb">
  <xsd:schema xmlns:xsd="http://www.w3.org/2001/XMLSchema" xmlns:xs="http://www.w3.org/2001/XMLSchema" xmlns:p="http://schemas.microsoft.com/office/2006/metadata/properties" xmlns:ns3="ae8cb991-6de7-4519-9ceb-ac92e1d16292" targetNamespace="http://schemas.microsoft.com/office/2006/metadata/properties" ma:root="true" ma:fieldsID="a07b2cf22a6b58d6ae75a2ee11946bbe" ns3:_="">
    <xsd:import namespace="ae8cb991-6de7-4519-9ceb-ac92e1d162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cb991-6de7-4519-9ceb-ac92e1d16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FD3FA-79EE-4AF8-A72B-55EE7C542571}">
  <ds:schemaRefs>
    <ds:schemaRef ds:uri="http://schemas.microsoft.com/office/2006/customDocumentInformationPanel"/>
  </ds:schemaRefs>
</ds:datastoreItem>
</file>

<file path=customXml/itemProps3.xml><?xml version="1.0" encoding="utf-8"?>
<ds:datastoreItem xmlns:ds="http://schemas.openxmlformats.org/officeDocument/2006/customXml" ds:itemID="{02D18313-9A4D-4C49-BBB5-7012767DE606}">
  <ds:schemaRefs>
    <ds:schemaRef ds:uri="PNNL_Template"/>
  </ds:schemaRefs>
</ds:datastoreItem>
</file>

<file path=customXml/itemProps4.xml><?xml version="1.0" encoding="utf-8"?>
<ds:datastoreItem xmlns:ds="http://schemas.openxmlformats.org/officeDocument/2006/customXml" ds:itemID="{836CEE21-E137-4DA1-AE6F-014D78A532C1}">
  <ds:schemaRefs>
    <ds:schemaRef ds:uri="http://schemas.microsoft.com/sharepoint/v3/contenttype/forms"/>
  </ds:schemaRefs>
</ds:datastoreItem>
</file>

<file path=customXml/itemProps5.xml><?xml version="1.0" encoding="utf-8"?>
<ds:datastoreItem xmlns:ds="http://schemas.openxmlformats.org/officeDocument/2006/customXml" ds:itemID="{FCD5CB02-57CB-49EC-AD7F-37D639581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cb991-6de7-4519-9ceb-ac92e1d16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D094FB-A794-491B-A6C7-880B6AFA9B4C}">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C58CCC1D-C725-4D48-A856-5539B95E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112</TotalTime>
  <Pages>6</Pages>
  <Words>1191</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Pacific Northwest National Laboratory</Company>
  <LinksUpToDate>false</LinksUpToDate>
  <CharactersWithSpaces>8847</CharactersWithSpaces>
  <SharedDoc>false</SharedDoc>
  <HLinks>
    <vt:vector size="54" baseType="variant">
      <vt:variant>
        <vt:i4>1114165</vt:i4>
      </vt:variant>
      <vt:variant>
        <vt:i4>41</vt:i4>
      </vt:variant>
      <vt:variant>
        <vt:i4>0</vt:i4>
      </vt:variant>
      <vt:variant>
        <vt:i4>5</vt:i4>
      </vt:variant>
      <vt:variant>
        <vt:lpwstr/>
      </vt:variant>
      <vt:variant>
        <vt:lpwstr>_Toc195079668</vt:lpwstr>
      </vt:variant>
      <vt:variant>
        <vt:i4>1114165</vt:i4>
      </vt:variant>
      <vt:variant>
        <vt:i4>35</vt:i4>
      </vt:variant>
      <vt:variant>
        <vt:i4>0</vt:i4>
      </vt:variant>
      <vt:variant>
        <vt:i4>5</vt:i4>
      </vt:variant>
      <vt:variant>
        <vt:lpwstr/>
      </vt:variant>
      <vt:variant>
        <vt:lpwstr>_Toc195079667</vt:lpwstr>
      </vt:variant>
      <vt:variant>
        <vt:i4>1114165</vt:i4>
      </vt:variant>
      <vt:variant>
        <vt:i4>29</vt:i4>
      </vt:variant>
      <vt:variant>
        <vt:i4>0</vt:i4>
      </vt:variant>
      <vt:variant>
        <vt:i4>5</vt:i4>
      </vt:variant>
      <vt:variant>
        <vt:lpwstr/>
      </vt:variant>
      <vt:variant>
        <vt:lpwstr>_Toc195079666</vt:lpwstr>
      </vt:variant>
      <vt:variant>
        <vt:i4>1114165</vt:i4>
      </vt:variant>
      <vt:variant>
        <vt:i4>23</vt:i4>
      </vt:variant>
      <vt:variant>
        <vt:i4>0</vt:i4>
      </vt:variant>
      <vt:variant>
        <vt:i4>5</vt:i4>
      </vt:variant>
      <vt:variant>
        <vt:lpwstr/>
      </vt:variant>
      <vt:variant>
        <vt:lpwstr>_Toc195079665</vt:lpwstr>
      </vt:variant>
      <vt:variant>
        <vt:i4>1114165</vt:i4>
      </vt:variant>
      <vt:variant>
        <vt:i4>17</vt:i4>
      </vt:variant>
      <vt:variant>
        <vt:i4>0</vt:i4>
      </vt:variant>
      <vt:variant>
        <vt:i4>5</vt:i4>
      </vt:variant>
      <vt:variant>
        <vt:lpwstr/>
      </vt:variant>
      <vt:variant>
        <vt:lpwstr>_Toc195079664</vt:lpwstr>
      </vt:variant>
      <vt:variant>
        <vt:i4>1114165</vt:i4>
      </vt:variant>
      <vt:variant>
        <vt:i4>11</vt:i4>
      </vt:variant>
      <vt:variant>
        <vt:i4>0</vt:i4>
      </vt:variant>
      <vt:variant>
        <vt:i4>5</vt:i4>
      </vt:variant>
      <vt:variant>
        <vt:lpwstr/>
      </vt:variant>
      <vt:variant>
        <vt:lpwstr>_Toc195079663</vt:lpwstr>
      </vt:variant>
      <vt:variant>
        <vt:i4>262169</vt:i4>
      </vt:variant>
      <vt:variant>
        <vt:i4>6</vt:i4>
      </vt:variant>
      <vt:variant>
        <vt:i4>0</vt:i4>
      </vt:variant>
      <vt:variant>
        <vt:i4>5</vt:i4>
      </vt:variant>
      <vt:variant>
        <vt:lpwstr>http://sbms.pnl.gov/standard/85/8504e050.pdf</vt:lpwstr>
      </vt:variant>
      <vt:variant>
        <vt:lpwstr/>
      </vt:variant>
      <vt:variant>
        <vt:i4>262174</vt:i4>
      </vt:variant>
      <vt:variant>
        <vt:i4>3</vt:i4>
      </vt:variant>
      <vt:variant>
        <vt:i4>0</vt:i4>
      </vt:variant>
      <vt:variant>
        <vt:i4>5</vt:i4>
      </vt:variant>
      <vt:variant>
        <vt:lpwstr>http://sbms.pnl.gov/standard/85/8504e020.pdf</vt:lpwstr>
      </vt:variant>
      <vt:variant>
        <vt:lpwstr/>
      </vt:variant>
      <vt:variant>
        <vt:i4>262175</vt:i4>
      </vt:variant>
      <vt:variant>
        <vt:i4>0</vt:i4>
      </vt:variant>
      <vt:variant>
        <vt:i4>0</vt:i4>
      </vt:variant>
      <vt:variant>
        <vt:i4>5</vt:i4>
      </vt:variant>
      <vt:variant>
        <vt:lpwstr>http://sbms.pnl.gov/standard/85/8504e030.pdf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Heather Culley</dc:creator>
  <cp:lastModifiedBy>Marye</cp:lastModifiedBy>
  <cp:revision>108</cp:revision>
  <cp:lastPrinted>2018-11-14T21:02:00Z</cp:lastPrinted>
  <dcterms:created xsi:type="dcterms:W3CDTF">2020-09-21T20:50:00Z</dcterms:created>
  <dcterms:modified xsi:type="dcterms:W3CDTF">2020-09-29T17:13:00Z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0x010100F8B612D56D8FEF429FF08DBD05A11435</vt:lpwstr>
  </property>
  <property fmtid="{D5CDD505-2E9C-101B-9397-08002B2CF9AE}" pid="3" name="PNNLNumber" linkTarget="PNNLNumber">
    <vt:lpwstr>PNNL-XXXXX</vt:lpwstr>
  </property>
</Properties>
</file>