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24BA" w14:textId="69069740" w:rsidR="00E12AF4" w:rsidRDefault="00C00F27" w:rsidP="00375BE7">
      <w:pPr>
        <w:pStyle w:val="HeadingFrontNoTOC"/>
      </w:pPr>
      <w:r w:rsidRPr="00C00F27">
        <w:t>BSESC—</w:t>
      </w:r>
      <w:r w:rsidR="00A53A31" w:rsidRPr="00BE71AE">
        <w:t>Lighting, Appliances, and Misc</w:t>
      </w:r>
      <w:r w:rsidR="00A53A31">
        <w:t>ellaneous</w:t>
      </w:r>
      <w:r w:rsidR="00A53A31" w:rsidRPr="00BE71AE">
        <w:t xml:space="preserve"> Loads</w:t>
      </w:r>
      <w:r w:rsidR="00A53A31" w:rsidRPr="00C00F27" w:rsidDel="00A53A31">
        <w:t xml:space="preserve"> </w:t>
      </w:r>
    </w:p>
    <w:p w14:paraId="07ABAB19" w14:textId="3CE561AB" w:rsidR="00F55786" w:rsidRPr="00622835" w:rsidRDefault="00375BE7" w:rsidP="00375BE7">
      <w:pPr>
        <w:pStyle w:val="Heading1"/>
      </w:pPr>
      <w:r w:rsidRPr="00092794">
        <w:t>Pr</w:t>
      </w:r>
      <w:r w:rsidRPr="00622835">
        <w:t xml:space="preserve">oficiency Level </w:t>
      </w:r>
      <w:r w:rsidR="00897E08">
        <w:t>3</w:t>
      </w:r>
      <w:r w:rsidRPr="00622835">
        <w:t xml:space="preserve">. </w:t>
      </w:r>
      <w:r w:rsidR="00897E08">
        <w:t>Apply</w:t>
      </w:r>
    </w:p>
    <w:p w14:paraId="5126110A" w14:textId="53EDEF23" w:rsidR="00071576" w:rsidRPr="00622835" w:rsidRDefault="00071576" w:rsidP="00D83231">
      <w:pPr>
        <w:pStyle w:val="Heading2"/>
      </w:pPr>
      <w:r w:rsidRPr="00622835">
        <w:t xml:space="preserve">Learning Objective </w:t>
      </w:r>
      <w:r w:rsidR="00897E08">
        <w:t>3</w:t>
      </w:r>
      <w:r w:rsidR="00710E88">
        <w:t>.1</w:t>
      </w:r>
    </w:p>
    <w:p w14:paraId="306811AE" w14:textId="7856EB87" w:rsidR="0042282B" w:rsidRPr="00622835" w:rsidRDefault="00AE6633" w:rsidP="00E7333C">
      <w:pPr>
        <w:pStyle w:val="BodyText"/>
      </w:pPr>
      <w:r w:rsidRPr="007C56BA">
        <w:t>Calculate the lighting power density for a simple home</w:t>
      </w:r>
      <w:r w:rsidR="0042282B" w:rsidRPr="00622835">
        <w:t xml:space="preserve">. </w:t>
      </w:r>
    </w:p>
    <w:p w14:paraId="6851FCB5" w14:textId="4E1C8C6B" w:rsidR="00071576" w:rsidRPr="00622835" w:rsidRDefault="00CC0A76" w:rsidP="00C37481">
      <w:pPr>
        <w:pStyle w:val="Heading3"/>
      </w:pPr>
      <w:r w:rsidRPr="00622835">
        <w:t>Lecture Notes</w:t>
      </w:r>
    </w:p>
    <w:p w14:paraId="6DADE6D7" w14:textId="77777777" w:rsidR="00522451" w:rsidRPr="0070467F" w:rsidRDefault="00522451" w:rsidP="00710E88">
      <w:pPr>
        <w:pStyle w:val="BodyText"/>
      </w:pPr>
      <w:r w:rsidRPr="00272692">
        <w:t xml:space="preserve">The energy efficiency community has used </w:t>
      </w:r>
      <w:r w:rsidRPr="00F41E9B">
        <w:rPr>
          <w:b/>
          <w:bCs/>
        </w:rPr>
        <w:t>Lighting Power Density (LPD)</w:t>
      </w:r>
      <w:r w:rsidRPr="00D1328E">
        <w:t xml:space="preserve"> as one method to quantify the energy efficiency for lighting in a specific space. LPD is a good method for capturing the energy efficiency because it allows all types of lighting to be e</w:t>
      </w:r>
      <w:r w:rsidRPr="0070467F">
        <w:t xml:space="preserve">valuated across a specific space. To calculate the LPD, you need to determine the size of the room (area) and the total energy in lighting. </w:t>
      </w:r>
    </w:p>
    <w:p w14:paraId="4B27D6B4" w14:textId="77777777" w:rsidR="00522451" w:rsidRPr="00272692" w:rsidRDefault="00522451" w:rsidP="00360756">
      <w:pPr>
        <w:pStyle w:val="Equation"/>
      </w:pPr>
      <m:oMathPara>
        <m:oMath>
          <m:r>
            <w:rPr>
              <w:rFonts w:ascii="Cambria Math" w:hAnsi="Cambria Math"/>
            </w:rPr>
            <m:t>LPD</m:t>
          </m:r>
          <m:r>
            <m:rPr>
              <m:sty m:val="p"/>
            </m:rPr>
            <w:rPr>
              <w:rFonts w:ascii="Cambria Math" w:hAnsi="Cambria Math"/>
            </w:rPr>
            <m:t xml:space="preserve">= </m:t>
          </m:r>
          <m:f>
            <m:fPr>
              <m:ctrlPr>
                <w:rPr>
                  <w:rFonts w:ascii="Cambria Math" w:hAnsi="Cambria Math"/>
                </w:rPr>
              </m:ctrlPr>
            </m:fPr>
            <m:num>
              <m:nary>
                <m:naryPr>
                  <m:chr m:val="∑"/>
                  <m:limLoc m:val="undOvr"/>
                  <m:subHide m:val="1"/>
                  <m:supHide m:val="1"/>
                  <m:ctrlPr>
                    <w:rPr>
                      <w:rFonts w:ascii="Cambria Math" w:hAnsi="Cambria Math"/>
                    </w:rPr>
                  </m:ctrlPr>
                </m:naryPr>
                <m:sub/>
                <m:sup/>
                <m:e>
                  <m:r>
                    <w:rPr>
                      <w:rFonts w:ascii="Cambria Math" w:hAnsi="Cambria Math"/>
                    </w:rPr>
                    <m:t>lighting</m:t>
                  </m:r>
                  <m:r>
                    <m:rPr>
                      <m:sty m:val="p"/>
                    </m:rPr>
                    <w:rPr>
                      <w:rFonts w:ascii="Cambria Math" w:hAnsi="Cambria Math"/>
                    </w:rPr>
                    <m:t xml:space="preserve"> </m:t>
                  </m:r>
                  <m:r>
                    <w:rPr>
                      <w:rFonts w:ascii="Cambria Math" w:hAnsi="Cambria Math"/>
                    </w:rPr>
                    <m:t>energy</m:t>
                  </m:r>
                </m:e>
              </m:nary>
            </m:num>
            <m:den>
              <m:r>
                <w:rPr>
                  <w:rFonts w:ascii="Cambria Math" w:hAnsi="Cambria Math"/>
                </w:rPr>
                <m:t>Area</m:t>
              </m:r>
            </m:den>
          </m:f>
        </m:oMath>
      </m:oMathPara>
    </w:p>
    <w:p w14:paraId="795A9CA0" w14:textId="08F28121" w:rsidR="00522451" w:rsidRPr="007947E7" w:rsidRDefault="00522451" w:rsidP="00710E88">
      <w:pPr>
        <w:pStyle w:val="BodyText"/>
        <w:rPr>
          <w:lang w:val="en"/>
        </w:rPr>
      </w:pPr>
      <w:r w:rsidRPr="00D1328E">
        <w:rPr>
          <w:lang w:val="en"/>
        </w:rPr>
        <w:t xml:space="preserve">For example, </w:t>
      </w:r>
      <w:r w:rsidRPr="0070467F">
        <w:rPr>
          <w:lang w:val="en"/>
        </w:rPr>
        <w:t>consider a room that has an area of 10</w:t>
      </w:r>
      <w:r w:rsidR="000912DE">
        <w:rPr>
          <w:lang w:val="en"/>
        </w:rPr>
        <w:t xml:space="preserve"> </w:t>
      </w:r>
      <w:r w:rsidRPr="0070467F">
        <w:rPr>
          <w:lang w:val="en"/>
        </w:rPr>
        <w:t>m</w:t>
      </w:r>
      <w:r w:rsidRPr="0070467F">
        <w:rPr>
          <w:vertAlign w:val="superscript"/>
          <w:lang w:val="en"/>
        </w:rPr>
        <w:t>2</w:t>
      </w:r>
      <w:r w:rsidRPr="0070467F">
        <w:rPr>
          <w:lang w:val="en"/>
        </w:rPr>
        <w:t xml:space="preserve">. If you have </w:t>
      </w:r>
      <w:r w:rsidR="000912DE">
        <w:rPr>
          <w:lang w:val="en"/>
        </w:rPr>
        <w:t>eight</w:t>
      </w:r>
      <w:r w:rsidRPr="0070467F">
        <w:rPr>
          <w:lang w:val="en"/>
        </w:rPr>
        <w:t xml:space="preserve"> lights, each rated at 10 W, you need to add up all the lights to get the total energy in watts. Since each of the </w:t>
      </w:r>
      <w:r w:rsidR="00865628">
        <w:rPr>
          <w:lang w:val="en"/>
        </w:rPr>
        <w:t>eight</w:t>
      </w:r>
      <w:r w:rsidRPr="0070467F">
        <w:rPr>
          <w:lang w:val="en"/>
        </w:rPr>
        <w:t xml:space="preserve"> lights has the same energy rating, in this case you can multiply. T</w:t>
      </w:r>
      <w:r w:rsidRPr="00CF35BF">
        <w:rPr>
          <w:lang w:val="en"/>
        </w:rPr>
        <w:t xml:space="preserve">he LPD would be </w:t>
      </w:r>
      <w:r w:rsidRPr="007947E7">
        <w:rPr>
          <w:lang w:val="en"/>
        </w:rPr>
        <w:t>8 W/m</w:t>
      </w:r>
      <w:r w:rsidRPr="007947E7">
        <w:rPr>
          <w:vertAlign w:val="superscript"/>
          <w:lang w:val="en"/>
        </w:rPr>
        <w:t>2</w:t>
      </w:r>
      <w:r w:rsidRPr="007947E7">
        <w:rPr>
          <w:lang w:val="en"/>
        </w:rPr>
        <w:t xml:space="preserve"> for this space.</w:t>
      </w:r>
    </w:p>
    <w:p w14:paraId="04F4E1DA" w14:textId="77777777" w:rsidR="00522451" w:rsidRPr="00272692" w:rsidRDefault="00522451" w:rsidP="00360756">
      <w:pPr>
        <w:pStyle w:val="Equation"/>
      </w:pPr>
      <m:oMathPara>
        <m:oMath>
          <m:r>
            <w:rPr>
              <w:rFonts w:ascii="Cambria Math" w:hAnsi="Cambria Math"/>
            </w:rPr>
            <m:t>LPD</m:t>
          </m:r>
          <m:r>
            <m:rPr>
              <m:sty m:val="p"/>
            </m:rPr>
            <w:rPr>
              <w:rFonts w:ascii="Cambria Math" w:hAnsi="Cambria Math"/>
            </w:rPr>
            <m:t xml:space="preserve">= </m:t>
          </m:r>
          <m:f>
            <m:fPr>
              <m:ctrlPr>
                <w:rPr>
                  <w:rFonts w:ascii="Cambria Math" w:hAnsi="Cambria Math"/>
                </w:rPr>
              </m:ctrlPr>
            </m:fPr>
            <m:num>
              <m:nary>
                <m:naryPr>
                  <m:chr m:val="∑"/>
                  <m:limLoc m:val="undOvr"/>
                  <m:subHide m:val="1"/>
                  <m:supHide m:val="1"/>
                  <m:ctrlPr>
                    <w:rPr>
                      <w:rFonts w:ascii="Cambria Math" w:hAnsi="Cambria Math"/>
                    </w:rPr>
                  </m:ctrlPr>
                </m:naryPr>
                <m:sub/>
                <m:sup/>
                <m:e>
                  <m:r>
                    <w:rPr>
                      <w:rFonts w:ascii="Cambria Math" w:hAnsi="Cambria Math"/>
                    </w:rPr>
                    <m:t>lighting</m:t>
                  </m:r>
                  <m:r>
                    <m:rPr>
                      <m:sty m:val="p"/>
                    </m:rPr>
                    <w:rPr>
                      <w:rFonts w:ascii="Cambria Math" w:hAnsi="Cambria Math"/>
                    </w:rPr>
                    <m:t xml:space="preserve"> </m:t>
                  </m:r>
                  <m:r>
                    <w:rPr>
                      <w:rFonts w:ascii="Cambria Math" w:hAnsi="Cambria Math"/>
                    </w:rPr>
                    <m:t>energy</m:t>
                  </m:r>
                </m:e>
              </m:nary>
            </m:num>
            <m:den>
              <m:r>
                <w:rPr>
                  <w:rFonts w:ascii="Cambria Math" w:hAnsi="Cambria Math"/>
                </w:rPr>
                <m:t>Area</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8∙10</m:t>
              </m:r>
              <m:r>
                <w:rPr>
                  <w:rFonts w:ascii="Cambria Math" w:hAnsi="Cambria Math"/>
                </w:rPr>
                <m:t>W</m:t>
              </m:r>
            </m:num>
            <m:den>
              <m:r>
                <m:rPr>
                  <m:sty m:val="p"/>
                </m:rPr>
                <w:rPr>
                  <w:rFonts w:ascii="Cambria Math" w:hAnsi="Cambria Math"/>
                </w:rPr>
                <m:t xml:space="preserve">10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 xml:space="preserve">8 </m:t>
              </m:r>
              <m:r>
                <w:rPr>
                  <w:rFonts w:ascii="Cambria Math" w:hAnsi="Cambria Math"/>
                </w:rPr>
                <m:t>W</m:t>
              </m:r>
            </m:num>
            <m:den>
              <m:sSup>
                <m:sSupPr>
                  <m:ctrlPr>
                    <w:rPr>
                      <w:rFonts w:ascii="Cambria Math" w:hAnsi="Cambria Math"/>
                    </w:rPr>
                  </m:ctrlPr>
                </m:sSupPr>
                <m:e>
                  <m:r>
                    <w:rPr>
                      <w:rFonts w:ascii="Cambria Math" w:hAnsi="Cambria Math"/>
                    </w:rPr>
                    <m:t>m</m:t>
                  </m:r>
                </m:e>
                <m:sup>
                  <m:r>
                    <m:rPr>
                      <m:sty m:val="p"/>
                    </m:rPr>
                    <w:rPr>
                      <w:rFonts w:ascii="Cambria Math" w:hAnsi="Cambria Math"/>
                    </w:rPr>
                    <m:t>2</m:t>
                  </m:r>
                </m:sup>
              </m:sSup>
            </m:den>
          </m:f>
        </m:oMath>
      </m:oMathPara>
    </w:p>
    <w:p w14:paraId="43760CFA" w14:textId="451C1A80" w:rsidR="00522451" w:rsidRPr="0070467F" w:rsidRDefault="00522451" w:rsidP="00710E88">
      <w:pPr>
        <w:pStyle w:val="BodyText"/>
        <w:rPr>
          <w:lang w:val="en"/>
        </w:rPr>
      </w:pPr>
      <w:r w:rsidRPr="00D1328E">
        <w:rPr>
          <w:lang w:val="en"/>
        </w:rPr>
        <w:t>How will you determine the rated power in watts for each lighting product? Most products have the rated power on the original packaging or in the design specifications. If you are evaluating an existing building, you can</w:t>
      </w:r>
      <w:r w:rsidRPr="0070467F">
        <w:rPr>
          <w:lang w:val="en"/>
        </w:rPr>
        <w:t xml:space="preserve"> check the base of the lighting product for manufacturer information about the lighting. You can measure the power using a wattmeter or appropriate multimeter</w:t>
      </w:r>
      <w:r w:rsidR="00CF51E7">
        <w:rPr>
          <w:lang w:val="en"/>
        </w:rPr>
        <w:t>;</w:t>
      </w:r>
      <w:r w:rsidRPr="0070467F">
        <w:rPr>
          <w:lang w:val="en"/>
        </w:rPr>
        <w:t xml:space="preserve"> just make sure you are trained in the equipment to maintain safety.</w:t>
      </w:r>
    </w:p>
    <w:p w14:paraId="22DCA5D8" w14:textId="5B28018A" w:rsidR="00522451" w:rsidRPr="007C56BA" w:rsidRDefault="00522451" w:rsidP="00710E88">
      <w:pPr>
        <w:pStyle w:val="BodyText"/>
        <w:rPr>
          <w:lang w:val="en"/>
        </w:rPr>
      </w:pPr>
      <w:r w:rsidRPr="00CF35BF">
        <w:rPr>
          <w:lang w:val="en"/>
        </w:rPr>
        <w:t>Most commercial building ene</w:t>
      </w:r>
      <w:r w:rsidRPr="007947E7">
        <w:rPr>
          <w:lang w:val="en"/>
        </w:rPr>
        <w:t>rgy codes use LPD based on specific space types to encourage energy</w:t>
      </w:r>
      <w:r w:rsidR="00A77EF1">
        <w:rPr>
          <w:lang w:val="en"/>
        </w:rPr>
        <w:t>-</w:t>
      </w:r>
      <w:r w:rsidRPr="007947E7">
        <w:rPr>
          <w:lang w:val="en"/>
        </w:rPr>
        <w:t xml:space="preserve">efficient lighting choices. </w:t>
      </w:r>
      <w:r w:rsidRPr="008A72E8">
        <w:rPr>
          <w:lang w:val="en"/>
        </w:rPr>
        <w:t>Under the current co</w:t>
      </w:r>
      <w:r w:rsidRPr="007D66C1">
        <w:rPr>
          <w:lang w:val="en"/>
        </w:rPr>
        <w:t>de structure, the builder might choose to inst</w:t>
      </w:r>
      <w:r w:rsidRPr="002F0CDB">
        <w:rPr>
          <w:lang w:val="en"/>
        </w:rPr>
        <w:t xml:space="preserve">all </w:t>
      </w:r>
      <w:r w:rsidR="005167F4">
        <w:rPr>
          <w:lang w:val="en"/>
        </w:rPr>
        <w:t>eight</w:t>
      </w:r>
      <w:r w:rsidRPr="002F0CDB">
        <w:rPr>
          <w:lang w:val="en"/>
        </w:rPr>
        <w:t xml:space="preserve"> lights rated at 10</w:t>
      </w:r>
      <w:r w:rsidR="00762544">
        <w:rPr>
          <w:lang w:val="en"/>
        </w:rPr>
        <w:t xml:space="preserve"> </w:t>
      </w:r>
      <w:r w:rsidRPr="002F0CDB">
        <w:rPr>
          <w:lang w:val="en"/>
        </w:rPr>
        <w:t>W each, or 10 lights, rated at 8</w:t>
      </w:r>
      <w:r w:rsidR="00762544">
        <w:rPr>
          <w:lang w:val="en"/>
        </w:rPr>
        <w:t xml:space="preserve"> </w:t>
      </w:r>
      <w:r w:rsidRPr="002F0CDB">
        <w:rPr>
          <w:lang w:val="en"/>
        </w:rPr>
        <w:t xml:space="preserve">W each (options 1 and 2 in </w:t>
      </w:r>
      <w:r w:rsidR="00260C9E">
        <w:rPr>
          <w:lang w:val="en"/>
        </w:rPr>
        <w:fldChar w:fldCharType="begin"/>
      </w:r>
      <w:r w:rsidR="00260C9E">
        <w:rPr>
          <w:lang w:val="en"/>
        </w:rPr>
        <w:instrText xml:space="preserve"> REF _Ref51748569 \h </w:instrText>
      </w:r>
      <w:r w:rsidR="00260C9E">
        <w:rPr>
          <w:lang w:val="en"/>
        </w:rPr>
      </w:r>
      <w:r w:rsidR="00260C9E">
        <w:rPr>
          <w:lang w:val="en"/>
        </w:rPr>
        <w:fldChar w:fldCharType="separate"/>
      </w:r>
      <w:r w:rsidR="00260C9E">
        <w:t xml:space="preserve">Table </w:t>
      </w:r>
      <w:r w:rsidR="00260C9E">
        <w:rPr>
          <w:noProof/>
        </w:rPr>
        <w:t>1</w:t>
      </w:r>
      <w:r w:rsidR="00260C9E">
        <w:rPr>
          <w:lang w:val="en"/>
        </w:rPr>
        <w:fldChar w:fldCharType="end"/>
      </w:r>
      <w:r w:rsidRPr="002F0CDB">
        <w:rPr>
          <w:lang w:val="en"/>
        </w:rPr>
        <w:t>). In this scenario</w:t>
      </w:r>
      <w:r w:rsidR="00762544">
        <w:rPr>
          <w:lang w:val="en"/>
        </w:rPr>
        <w:t>,</w:t>
      </w:r>
      <w:r w:rsidRPr="002F0CDB">
        <w:rPr>
          <w:lang w:val="en"/>
        </w:rPr>
        <w:t xml:space="preserve"> the builder may increase the number of lights as needed, but only if they are higher energy efficien</w:t>
      </w:r>
      <w:r w:rsidRPr="007C56BA">
        <w:rPr>
          <w:lang w:val="en"/>
        </w:rPr>
        <w:t>cy. Using this policy structure, it is reasonable that a builder will choose to install</w:t>
      </w:r>
      <w:r w:rsidR="00931AFF">
        <w:rPr>
          <w:lang w:val="en"/>
        </w:rPr>
        <w:t xml:space="preserve"> compact fluorescent lamps</w:t>
      </w:r>
      <w:r w:rsidRPr="007C56BA">
        <w:rPr>
          <w:lang w:val="en"/>
        </w:rPr>
        <w:t xml:space="preserve"> </w:t>
      </w:r>
      <w:r w:rsidR="00931AFF">
        <w:rPr>
          <w:lang w:val="en"/>
        </w:rPr>
        <w:t>(</w:t>
      </w:r>
      <w:r w:rsidRPr="007C56BA">
        <w:rPr>
          <w:lang w:val="en"/>
        </w:rPr>
        <w:t>CFLs</w:t>
      </w:r>
      <w:r w:rsidR="00931AFF">
        <w:rPr>
          <w:lang w:val="en"/>
        </w:rPr>
        <w:t>)</w:t>
      </w:r>
      <w:r w:rsidRPr="007C56BA">
        <w:rPr>
          <w:lang w:val="en"/>
        </w:rPr>
        <w:t xml:space="preserve"> based on cost, even if the</w:t>
      </w:r>
      <w:r w:rsidR="006D3E15">
        <w:rPr>
          <w:lang w:val="en"/>
        </w:rPr>
        <w:t xml:space="preserve"> light-emitting diode</w:t>
      </w:r>
      <w:r w:rsidRPr="007C56BA">
        <w:rPr>
          <w:lang w:val="en"/>
        </w:rPr>
        <w:t xml:space="preserve"> </w:t>
      </w:r>
      <w:r w:rsidR="006D3E15">
        <w:rPr>
          <w:lang w:val="en"/>
        </w:rPr>
        <w:t>(</w:t>
      </w:r>
      <w:r w:rsidRPr="007C56BA">
        <w:rPr>
          <w:lang w:val="en"/>
        </w:rPr>
        <w:t>LED</w:t>
      </w:r>
      <w:r w:rsidR="006D3E15">
        <w:rPr>
          <w:lang w:val="en"/>
        </w:rPr>
        <w:t>)</w:t>
      </w:r>
      <w:r w:rsidRPr="007C56BA">
        <w:rPr>
          <w:lang w:val="en"/>
        </w:rPr>
        <w:t xml:space="preserve"> products are more environmentally friendly. </w:t>
      </w:r>
    </w:p>
    <w:p w14:paraId="05D30CD7" w14:textId="293AA7EF" w:rsidR="00522451" w:rsidRPr="00AF5EB6" w:rsidRDefault="0046068A" w:rsidP="008B5022">
      <w:pPr>
        <w:pStyle w:val="Caption-Tab"/>
        <w:keepLines/>
        <w:widowControl w:val="0"/>
        <w:rPr>
          <w:lang w:val="en"/>
        </w:rPr>
      </w:pPr>
      <w:bookmarkStart w:id="0" w:name="_Ref51748569"/>
      <w:r>
        <w:lastRenderedPageBreak/>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bookmarkEnd w:id="0"/>
      <w:r w:rsidR="00AF5EB6" w:rsidRPr="00AF5EB6">
        <w:rPr>
          <w:lang w:val="en"/>
        </w:rPr>
        <w:t>.</w:t>
      </w:r>
      <w:r w:rsidR="00AF5EB6">
        <w:rPr>
          <w:lang w:val="en"/>
        </w:rPr>
        <w:tab/>
      </w:r>
      <w:r w:rsidR="00AF5EB6" w:rsidRPr="00AF5EB6">
        <w:rPr>
          <w:lang w:val="en"/>
        </w:rPr>
        <w:t>Lighting compliance options for an updated metric for energy efficiency</w:t>
      </w:r>
      <w:r w:rsidR="00AF5EB6">
        <w:rPr>
          <w:lang w:val="en"/>
        </w:rPr>
        <w:t xml:space="preserve"> (a</w:t>
      </w:r>
      <w:r w:rsidR="00AF5EB6" w:rsidRPr="00AF5EB6">
        <w:rPr>
          <w:lang w:val="en"/>
        </w:rPr>
        <w:t>ssumes the space is 10 m</w:t>
      </w:r>
      <w:r w:rsidR="00AF5EB6" w:rsidRPr="00AF5EB6">
        <w:rPr>
          <w:vertAlign w:val="superscript"/>
          <w:lang w:val="en"/>
        </w:rPr>
        <w:t>2</w:t>
      </w:r>
      <w:r w:rsidR="00AF5EB6">
        <w:rPr>
          <w:lang w:val="en"/>
        </w:rPr>
        <w:t>)</w:t>
      </w:r>
    </w:p>
    <w:tbl>
      <w:tblPr>
        <w:tblStyle w:val="PNNLClassic"/>
        <w:tblW w:w="0" w:type="auto"/>
        <w:tblLayout w:type="fixed"/>
        <w:tblLook w:val="06A0" w:firstRow="1" w:lastRow="0" w:firstColumn="1" w:lastColumn="0" w:noHBand="1" w:noVBand="1"/>
      </w:tblPr>
      <w:tblGrid>
        <w:gridCol w:w="1011"/>
        <w:gridCol w:w="2316"/>
        <w:gridCol w:w="1996"/>
        <w:gridCol w:w="1454"/>
      </w:tblGrid>
      <w:tr w:rsidR="00522451" w:rsidRPr="00E03A4F" w14:paraId="7F15E6B1" w14:textId="77777777" w:rsidTr="00E03A4F">
        <w:trPr>
          <w:cnfStyle w:val="100000000000" w:firstRow="1" w:lastRow="0" w:firstColumn="0" w:lastColumn="0" w:oddVBand="0" w:evenVBand="0" w:oddHBand="0" w:evenHBand="0" w:firstRowFirstColumn="0" w:firstRowLastColumn="0" w:lastRowFirstColumn="0" w:lastRowLastColumn="0"/>
        </w:trPr>
        <w:tc>
          <w:tcPr>
            <w:tcW w:w="1011" w:type="dxa"/>
            <w:vAlign w:val="center"/>
          </w:tcPr>
          <w:p w14:paraId="0CA03E85" w14:textId="77777777" w:rsidR="00522451" w:rsidRPr="00E03A4F" w:rsidRDefault="00522451" w:rsidP="008B5022">
            <w:pPr>
              <w:keepNext/>
              <w:keepLines/>
              <w:widowControl w:val="0"/>
              <w:rPr>
                <w:rFonts w:ascii="Calibri" w:hAnsi="Calibri" w:cs="Calibri"/>
                <w:b/>
                <w:bCs/>
                <w:sz w:val="20"/>
                <w:szCs w:val="20"/>
                <w:lang w:val="en"/>
              </w:rPr>
            </w:pPr>
          </w:p>
        </w:tc>
        <w:tc>
          <w:tcPr>
            <w:tcW w:w="2316" w:type="dxa"/>
            <w:vAlign w:val="center"/>
          </w:tcPr>
          <w:p w14:paraId="7A8B2072" w14:textId="77777777" w:rsidR="00522451" w:rsidRPr="00E03A4F" w:rsidRDefault="00522451" w:rsidP="008B5022">
            <w:pPr>
              <w:keepNext/>
              <w:keepLines/>
              <w:widowControl w:val="0"/>
              <w:rPr>
                <w:rFonts w:ascii="Calibri" w:hAnsi="Calibri" w:cs="Calibri"/>
                <w:b/>
                <w:bCs/>
                <w:sz w:val="20"/>
                <w:szCs w:val="20"/>
                <w:lang w:val="en"/>
              </w:rPr>
            </w:pPr>
            <w:r w:rsidRPr="00E03A4F">
              <w:rPr>
                <w:rFonts w:ascii="Calibri" w:hAnsi="Calibri" w:cs="Calibri"/>
                <w:b/>
                <w:bCs/>
                <w:sz w:val="20"/>
                <w:szCs w:val="20"/>
                <w:lang w:val="en"/>
              </w:rPr>
              <w:t>Lighting Power Density</w:t>
            </w:r>
          </w:p>
        </w:tc>
        <w:tc>
          <w:tcPr>
            <w:tcW w:w="1996" w:type="dxa"/>
            <w:vAlign w:val="center"/>
          </w:tcPr>
          <w:p w14:paraId="4668B518" w14:textId="77777777" w:rsidR="00522451" w:rsidRPr="00E03A4F" w:rsidRDefault="00522451" w:rsidP="008B5022">
            <w:pPr>
              <w:keepNext/>
              <w:keepLines/>
              <w:widowControl w:val="0"/>
              <w:rPr>
                <w:rFonts w:ascii="Calibri" w:hAnsi="Calibri" w:cs="Calibri"/>
                <w:b/>
                <w:bCs/>
                <w:sz w:val="20"/>
                <w:szCs w:val="20"/>
                <w:lang w:val="en"/>
              </w:rPr>
            </w:pPr>
            <w:r w:rsidRPr="00E03A4F">
              <w:rPr>
                <w:rFonts w:ascii="Calibri" w:hAnsi="Calibri" w:cs="Calibri"/>
                <w:b/>
                <w:bCs/>
                <w:sz w:val="20"/>
                <w:szCs w:val="20"/>
                <w:lang w:val="en"/>
              </w:rPr>
              <w:t>Installation Choices</w:t>
            </w:r>
          </w:p>
        </w:tc>
        <w:tc>
          <w:tcPr>
            <w:tcW w:w="1454" w:type="dxa"/>
            <w:vAlign w:val="center"/>
          </w:tcPr>
          <w:p w14:paraId="39F820FA" w14:textId="43764F4A" w:rsidR="00522451" w:rsidRPr="00E03A4F" w:rsidRDefault="00522451" w:rsidP="008B5022">
            <w:pPr>
              <w:keepNext/>
              <w:keepLines/>
              <w:widowControl w:val="0"/>
              <w:rPr>
                <w:rFonts w:ascii="Calibri" w:hAnsi="Calibri" w:cs="Calibri"/>
                <w:b/>
                <w:bCs/>
                <w:sz w:val="20"/>
                <w:szCs w:val="20"/>
                <w:lang w:val="en"/>
              </w:rPr>
            </w:pPr>
            <w:r w:rsidRPr="00E03A4F">
              <w:rPr>
                <w:rFonts w:ascii="Calibri" w:hAnsi="Calibri" w:cs="Calibri"/>
                <w:b/>
                <w:bCs/>
                <w:sz w:val="20"/>
                <w:szCs w:val="20"/>
                <w:lang w:val="en"/>
              </w:rPr>
              <w:t>Total Lighting</w:t>
            </w:r>
          </w:p>
        </w:tc>
      </w:tr>
      <w:tr w:rsidR="00522451" w:rsidRPr="00FF4244" w14:paraId="03716B1D" w14:textId="77777777" w:rsidTr="00E03A4F">
        <w:tc>
          <w:tcPr>
            <w:tcW w:w="1011" w:type="dxa"/>
            <w:vAlign w:val="center"/>
          </w:tcPr>
          <w:p w14:paraId="06400645" w14:textId="77777777" w:rsidR="00522451" w:rsidRPr="00FF4244" w:rsidRDefault="00522451" w:rsidP="008B5022">
            <w:pPr>
              <w:keepNext/>
              <w:keepLines/>
              <w:widowControl w:val="0"/>
              <w:jc w:val="center"/>
              <w:rPr>
                <w:rFonts w:ascii="Calibri" w:hAnsi="Calibri" w:cs="Calibri"/>
                <w:sz w:val="20"/>
                <w:szCs w:val="20"/>
                <w:lang w:val="en"/>
              </w:rPr>
            </w:pPr>
            <w:r w:rsidRPr="00FF4244">
              <w:rPr>
                <w:rFonts w:ascii="Calibri" w:hAnsi="Calibri" w:cs="Calibri"/>
                <w:sz w:val="20"/>
                <w:szCs w:val="20"/>
                <w:lang w:val="en"/>
              </w:rPr>
              <w:t>Option 1</w:t>
            </w:r>
          </w:p>
        </w:tc>
        <w:tc>
          <w:tcPr>
            <w:tcW w:w="2316" w:type="dxa"/>
            <w:vAlign w:val="center"/>
          </w:tcPr>
          <w:p w14:paraId="613D432E" w14:textId="77777777" w:rsidR="00522451" w:rsidRPr="00FF4244" w:rsidRDefault="00522451" w:rsidP="008B5022">
            <w:pPr>
              <w:keepNext/>
              <w:keepLines/>
              <w:widowControl w:val="0"/>
              <w:jc w:val="center"/>
              <w:rPr>
                <w:rFonts w:ascii="Calibri" w:hAnsi="Calibri" w:cs="Calibri"/>
                <w:sz w:val="20"/>
                <w:szCs w:val="20"/>
                <w:vertAlign w:val="superscript"/>
                <w:lang w:val="en"/>
              </w:rPr>
            </w:pPr>
            <w:r w:rsidRPr="00FF4244">
              <w:rPr>
                <w:rFonts w:ascii="Calibri" w:hAnsi="Calibri" w:cs="Calibri"/>
                <w:sz w:val="20"/>
                <w:szCs w:val="20"/>
                <w:lang w:val="en"/>
              </w:rPr>
              <w:t>8 W/m</w:t>
            </w:r>
            <w:r w:rsidRPr="00FF4244">
              <w:rPr>
                <w:rFonts w:ascii="Calibri" w:hAnsi="Calibri" w:cs="Calibri"/>
                <w:sz w:val="20"/>
                <w:szCs w:val="20"/>
                <w:vertAlign w:val="superscript"/>
                <w:lang w:val="en"/>
              </w:rPr>
              <w:t>2</w:t>
            </w:r>
          </w:p>
        </w:tc>
        <w:tc>
          <w:tcPr>
            <w:tcW w:w="1996" w:type="dxa"/>
            <w:vAlign w:val="center"/>
          </w:tcPr>
          <w:p w14:paraId="06472BCF" w14:textId="77777777" w:rsidR="00522451" w:rsidRPr="00FF4244" w:rsidRDefault="00522451" w:rsidP="008B5022">
            <w:pPr>
              <w:keepNext/>
              <w:keepLines/>
              <w:widowControl w:val="0"/>
              <w:jc w:val="center"/>
              <w:rPr>
                <w:rFonts w:ascii="Calibri" w:hAnsi="Calibri" w:cs="Calibri"/>
                <w:sz w:val="20"/>
                <w:szCs w:val="20"/>
                <w:lang w:val="en"/>
              </w:rPr>
            </w:pPr>
            <w:r w:rsidRPr="00FF4244">
              <w:rPr>
                <w:rFonts w:ascii="Calibri" w:hAnsi="Calibri" w:cs="Calibri"/>
                <w:sz w:val="20"/>
                <w:szCs w:val="20"/>
                <w:lang w:val="en"/>
              </w:rPr>
              <w:t>8 lights, 10W each</w:t>
            </w:r>
          </w:p>
        </w:tc>
        <w:tc>
          <w:tcPr>
            <w:tcW w:w="1454" w:type="dxa"/>
            <w:vAlign w:val="center"/>
          </w:tcPr>
          <w:p w14:paraId="73684D7B" w14:textId="77777777" w:rsidR="00522451" w:rsidRPr="00FF4244" w:rsidRDefault="00522451" w:rsidP="008B5022">
            <w:pPr>
              <w:keepNext/>
              <w:keepLines/>
              <w:widowControl w:val="0"/>
              <w:jc w:val="center"/>
              <w:rPr>
                <w:rFonts w:ascii="Calibri" w:hAnsi="Calibri" w:cs="Calibri"/>
                <w:sz w:val="20"/>
                <w:szCs w:val="20"/>
                <w:lang w:val="en"/>
              </w:rPr>
            </w:pPr>
            <w:r w:rsidRPr="00FF4244">
              <w:rPr>
                <w:rFonts w:ascii="Calibri" w:hAnsi="Calibri" w:cs="Calibri"/>
                <w:sz w:val="20"/>
                <w:szCs w:val="20"/>
                <w:lang w:val="en"/>
              </w:rPr>
              <w:t>80 W/10 m</w:t>
            </w:r>
            <w:r w:rsidRPr="00FF4244">
              <w:rPr>
                <w:rFonts w:ascii="Calibri" w:hAnsi="Calibri" w:cs="Calibri"/>
                <w:sz w:val="20"/>
                <w:szCs w:val="20"/>
                <w:vertAlign w:val="superscript"/>
                <w:lang w:val="en"/>
              </w:rPr>
              <w:t>2</w:t>
            </w:r>
          </w:p>
        </w:tc>
      </w:tr>
      <w:tr w:rsidR="00522451" w:rsidRPr="00FF4244" w14:paraId="4B5CC1DF" w14:textId="77777777" w:rsidTr="00E03A4F">
        <w:tc>
          <w:tcPr>
            <w:tcW w:w="1011" w:type="dxa"/>
            <w:vAlign w:val="center"/>
          </w:tcPr>
          <w:p w14:paraId="3126DBBA" w14:textId="7AD0EE5C" w:rsidR="00522451" w:rsidRPr="00FF4244" w:rsidRDefault="00522451" w:rsidP="00E03A4F">
            <w:pPr>
              <w:jc w:val="center"/>
              <w:rPr>
                <w:rFonts w:ascii="Calibri" w:hAnsi="Calibri" w:cs="Calibri"/>
                <w:sz w:val="20"/>
                <w:szCs w:val="20"/>
                <w:lang w:val="en"/>
              </w:rPr>
            </w:pPr>
            <w:r w:rsidRPr="00FF4244">
              <w:rPr>
                <w:rFonts w:ascii="Calibri" w:hAnsi="Calibri" w:cs="Calibri"/>
                <w:sz w:val="20"/>
                <w:szCs w:val="20"/>
                <w:lang w:val="en"/>
              </w:rPr>
              <w:t>Option 2</w:t>
            </w:r>
          </w:p>
        </w:tc>
        <w:tc>
          <w:tcPr>
            <w:tcW w:w="2316" w:type="dxa"/>
            <w:vAlign w:val="center"/>
          </w:tcPr>
          <w:p w14:paraId="3AC83E25" w14:textId="77777777" w:rsidR="00522451" w:rsidRPr="00FF4244" w:rsidRDefault="00522451" w:rsidP="00E03A4F">
            <w:pPr>
              <w:jc w:val="center"/>
              <w:rPr>
                <w:rFonts w:ascii="Calibri" w:hAnsi="Calibri" w:cs="Calibri"/>
                <w:sz w:val="20"/>
                <w:szCs w:val="20"/>
                <w:vertAlign w:val="superscript"/>
                <w:lang w:val="en"/>
              </w:rPr>
            </w:pPr>
            <w:r w:rsidRPr="00FF4244">
              <w:rPr>
                <w:rFonts w:ascii="Calibri" w:hAnsi="Calibri" w:cs="Calibri"/>
                <w:sz w:val="20"/>
                <w:szCs w:val="20"/>
                <w:lang w:val="en"/>
              </w:rPr>
              <w:t>8 W/m</w:t>
            </w:r>
            <w:r w:rsidRPr="00FF4244">
              <w:rPr>
                <w:rFonts w:ascii="Calibri" w:hAnsi="Calibri" w:cs="Calibri"/>
                <w:sz w:val="20"/>
                <w:szCs w:val="20"/>
                <w:vertAlign w:val="superscript"/>
                <w:lang w:val="en"/>
              </w:rPr>
              <w:t>2</w:t>
            </w:r>
          </w:p>
        </w:tc>
        <w:tc>
          <w:tcPr>
            <w:tcW w:w="1996" w:type="dxa"/>
            <w:vAlign w:val="center"/>
          </w:tcPr>
          <w:p w14:paraId="2F04E789" w14:textId="77777777" w:rsidR="00522451" w:rsidRPr="00FF4244" w:rsidRDefault="00522451" w:rsidP="00E03A4F">
            <w:pPr>
              <w:jc w:val="center"/>
              <w:rPr>
                <w:rFonts w:ascii="Calibri" w:hAnsi="Calibri" w:cs="Calibri"/>
                <w:sz w:val="20"/>
                <w:szCs w:val="20"/>
                <w:lang w:val="en"/>
              </w:rPr>
            </w:pPr>
            <w:r w:rsidRPr="00FF4244">
              <w:rPr>
                <w:rFonts w:ascii="Calibri" w:hAnsi="Calibri" w:cs="Calibri"/>
                <w:sz w:val="20"/>
                <w:szCs w:val="20"/>
                <w:lang w:val="en"/>
              </w:rPr>
              <w:t>10 lights, 8 W each</w:t>
            </w:r>
          </w:p>
        </w:tc>
        <w:tc>
          <w:tcPr>
            <w:tcW w:w="1454" w:type="dxa"/>
            <w:vAlign w:val="center"/>
          </w:tcPr>
          <w:p w14:paraId="6A33414B" w14:textId="77777777" w:rsidR="00522451" w:rsidRPr="00FF4244" w:rsidRDefault="00522451" w:rsidP="00E03A4F">
            <w:pPr>
              <w:jc w:val="center"/>
              <w:rPr>
                <w:rFonts w:ascii="Calibri" w:hAnsi="Calibri" w:cs="Calibri"/>
                <w:sz w:val="20"/>
                <w:szCs w:val="20"/>
                <w:lang w:val="en"/>
              </w:rPr>
            </w:pPr>
            <w:r w:rsidRPr="00FF4244">
              <w:rPr>
                <w:rFonts w:ascii="Calibri" w:hAnsi="Calibri" w:cs="Calibri"/>
                <w:sz w:val="20"/>
                <w:szCs w:val="20"/>
                <w:lang w:val="en"/>
              </w:rPr>
              <w:t>80 W/10 m</w:t>
            </w:r>
            <w:r w:rsidRPr="00FF4244">
              <w:rPr>
                <w:rFonts w:ascii="Calibri" w:hAnsi="Calibri" w:cs="Calibri"/>
                <w:sz w:val="20"/>
                <w:szCs w:val="20"/>
                <w:vertAlign w:val="superscript"/>
                <w:lang w:val="en"/>
              </w:rPr>
              <w:t>2</w:t>
            </w:r>
          </w:p>
        </w:tc>
      </w:tr>
    </w:tbl>
    <w:p w14:paraId="7F984C07" w14:textId="7E60C3D8" w:rsidR="00522451" w:rsidRPr="002F0CDB" w:rsidRDefault="00522451" w:rsidP="00E03A4F">
      <w:pPr>
        <w:pStyle w:val="BodyText"/>
      </w:pPr>
      <w:r w:rsidRPr="007D66C1">
        <w:t xml:space="preserve">For residential buildings, the idea of LPD is still important to consider as you design for energy efficiency. </w:t>
      </w:r>
      <w:r w:rsidRPr="007C56BA">
        <w:t xml:space="preserve">The way LPD is used in energy regulation is summarized in </w:t>
      </w:r>
      <w:r w:rsidR="00260C9E">
        <w:fldChar w:fldCharType="begin"/>
      </w:r>
      <w:r w:rsidR="00260C9E">
        <w:instrText xml:space="preserve"> REF _Ref51748582 \h </w:instrText>
      </w:r>
      <w:r w:rsidR="00260C9E">
        <w:fldChar w:fldCharType="separate"/>
      </w:r>
      <w:r w:rsidR="00260C9E">
        <w:t xml:space="preserve">Table </w:t>
      </w:r>
      <w:r w:rsidR="00260C9E">
        <w:rPr>
          <w:noProof/>
        </w:rPr>
        <w:t>2</w:t>
      </w:r>
      <w:r w:rsidR="00260C9E">
        <w:fldChar w:fldCharType="end"/>
      </w:r>
      <w:r w:rsidRPr="007C56BA">
        <w:t>. Most codes require that the LPD must be lower than a specific threshold</w:t>
      </w:r>
      <w:r>
        <w:t xml:space="preserve"> in commercial buildings</w:t>
      </w:r>
      <w:r w:rsidRPr="002F0CDB">
        <w:t>. Often the threshold is determined by the type of room or space</w:t>
      </w:r>
      <w:r w:rsidR="007260B5">
        <w:t>,</w:t>
      </w:r>
      <w:r w:rsidRPr="002F0CDB">
        <w:t xml:space="preserve"> since more lighting would typically be needed for a retail space than a storage room.</w:t>
      </w:r>
      <w:r>
        <w:t xml:space="preserve"> In residential buildings</w:t>
      </w:r>
      <w:r w:rsidR="007260B5">
        <w:t>,</w:t>
      </w:r>
      <w:r>
        <w:t xml:space="preserve"> the requirements may be based on a </w:t>
      </w:r>
      <w:r w:rsidR="007260B5">
        <w:t>percentage</w:t>
      </w:r>
      <w:r>
        <w:t xml:space="preserve"> of fixtures rather than LPD.</w:t>
      </w:r>
    </w:p>
    <w:p w14:paraId="10A99558" w14:textId="70F91FDD" w:rsidR="00522451" w:rsidRPr="007947E7" w:rsidRDefault="00AB4BB2" w:rsidP="00260C9E">
      <w:pPr>
        <w:pStyle w:val="Caption-Tab"/>
        <w:jc w:val="center"/>
        <w:rPr>
          <w:lang w:val="en"/>
        </w:rPr>
      </w:pPr>
      <w:bookmarkStart w:id="1" w:name="_Ref51748582"/>
      <w:r>
        <w:t xml:space="preserve">Table </w:t>
      </w:r>
      <w:r w:rsidR="007F72B5">
        <w:fldChar w:fldCharType="begin"/>
      </w:r>
      <w:r w:rsidR="007F72B5">
        <w:instrText xml:space="preserve"> SEQ Table \* ARABIC </w:instrText>
      </w:r>
      <w:r w:rsidR="007F72B5">
        <w:fldChar w:fldCharType="separate"/>
      </w:r>
      <w:r>
        <w:rPr>
          <w:noProof/>
        </w:rPr>
        <w:t>2</w:t>
      </w:r>
      <w:r w:rsidR="007F72B5">
        <w:rPr>
          <w:noProof/>
        </w:rPr>
        <w:fldChar w:fldCharType="end"/>
      </w:r>
      <w:bookmarkEnd w:id="1"/>
      <w:r w:rsidRPr="00AF5EB6">
        <w:rPr>
          <w:lang w:val="en"/>
        </w:rPr>
        <w:t>.</w:t>
      </w:r>
      <w:r w:rsidR="00522451" w:rsidRPr="007947E7">
        <w:rPr>
          <w:lang w:val="en"/>
        </w:rPr>
        <w:t xml:space="preserve"> Summary of the trade-off structures for many model energy codes and policies</w:t>
      </w:r>
    </w:p>
    <w:tbl>
      <w:tblPr>
        <w:tblStyle w:val="PNNLClassic"/>
        <w:tblW w:w="0" w:type="auto"/>
        <w:tblLayout w:type="fixed"/>
        <w:tblLook w:val="06A0" w:firstRow="1" w:lastRow="0" w:firstColumn="1" w:lastColumn="0" w:noHBand="1" w:noVBand="1"/>
      </w:tblPr>
      <w:tblGrid>
        <w:gridCol w:w="4860"/>
        <w:gridCol w:w="1407"/>
        <w:gridCol w:w="3083"/>
      </w:tblGrid>
      <w:tr w:rsidR="00522451" w:rsidRPr="000C1AAE" w14:paraId="28620710" w14:textId="77777777" w:rsidTr="00250344">
        <w:trPr>
          <w:cnfStyle w:val="100000000000" w:firstRow="1" w:lastRow="0" w:firstColumn="0" w:lastColumn="0" w:oddVBand="0" w:evenVBand="0" w:oddHBand="0" w:evenHBand="0" w:firstRowFirstColumn="0" w:firstRowLastColumn="0" w:lastRowFirstColumn="0" w:lastRowLastColumn="0"/>
        </w:trPr>
        <w:tc>
          <w:tcPr>
            <w:tcW w:w="4860" w:type="dxa"/>
            <w:vAlign w:val="center"/>
          </w:tcPr>
          <w:p w14:paraId="54D2FA8E" w14:textId="77777777" w:rsidR="00522451" w:rsidRPr="000C1AAE" w:rsidRDefault="00522451" w:rsidP="000C1AAE">
            <w:pPr>
              <w:rPr>
                <w:rFonts w:ascii="Calibri" w:hAnsi="Calibri" w:cs="Calibri"/>
                <w:b/>
                <w:bCs/>
                <w:sz w:val="20"/>
                <w:szCs w:val="20"/>
                <w:lang w:val="en"/>
              </w:rPr>
            </w:pPr>
          </w:p>
        </w:tc>
        <w:tc>
          <w:tcPr>
            <w:tcW w:w="1407" w:type="dxa"/>
            <w:vAlign w:val="center"/>
          </w:tcPr>
          <w:p w14:paraId="3CE2EC28" w14:textId="77777777" w:rsidR="00522451" w:rsidRPr="000C1AAE" w:rsidRDefault="00522451" w:rsidP="000C1AAE">
            <w:pPr>
              <w:rPr>
                <w:rFonts w:ascii="Calibri" w:hAnsi="Calibri" w:cs="Calibri"/>
                <w:b/>
                <w:bCs/>
                <w:sz w:val="20"/>
                <w:szCs w:val="20"/>
                <w:lang w:val="en"/>
              </w:rPr>
            </w:pPr>
            <w:r w:rsidRPr="000C1AAE">
              <w:rPr>
                <w:rFonts w:ascii="Calibri" w:hAnsi="Calibri" w:cs="Calibri"/>
                <w:b/>
                <w:bCs/>
                <w:sz w:val="20"/>
                <w:szCs w:val="20"/>
                <w:lang w:val="en"/>
              </w:rPr>
              <w:t>Trade-off Base Unit</w:t>
            </w:r>
          </w:p>
        </w:tc>
        <w:tc>
          <w:tcPr>
            <w:tcW w:w="3083" w:type="dxa"/>
            <w:vAlign w:val="center"/>
          </w:tcPr>
          <w:p w14:paraId="688A9AD0" w14:textId="77777777" w:rsidR="00522451" w:rsidRPr="000C1AAE" w:rsidRDefault="00522451" w:rsidP="000C1AAE">
            <w:pPr>
              <w:rPr>
                <w:rFonts w:ascii="Calibri" w:hAnsi="Calibri" w:cs="Calibri"/>
                <w:b/>
                <w:bCs/>
                <w:sz w:val="20"/>
                <w:szCs w:val="20"/>
                <w:lang w:val="en"/>
              </w:rPr>
            </w:pPr>
            <w:r w:rsidRPr="000C1AAE">
              <w:rPr>
                <w:rFonts w:ascii="Calibri" w:hAnsi="Calibri" w:cs="Calibri"/>
                <w:b/>
                <w:bCs/>
                <w:sz w:val="20"/>
                <w:szCs w:val="20"/>
                <w:lang w:val="en"/>
              </w:rPr>
              <w:t>Method</w:t>
            </w:r>
          </w:p>
        </w:tc>
      </w:tr>
      <w:tr w:rsidR="00522451" w:rsidRPr="000C1AAE" w14:paraId="34898EFC" w14:textId="77777777" w:rsidTr="00250344">
        <w:tc>
          <w:tcPr>
            <w:tcW w:w="4860" w:type="dxa"/>
            <w:vAlign w:val="center"/>
          </w:tcPr>
          <w:p w14:paraId="53B5C10F" w14:textId="51F55AA0"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ASHRAE 90.1</w:t>
            </w:r>
            <w:r w:rsidR="00DE6C5E">
              <w:rPr>
                <w:rFonts w:ascii="Calibri" w:hAnsi="Calibri" w:cs="Calibri"/>
                <w:sz w:val="20"/>
                <w:szCs w:val="20"/>
                <w:lang w:val="en"/>
              </w:rPr>
              <w:t xml:space="preserve"> (ASHRA, ANSI, and IESNA 2016)</w:t>
            </w:r>
            <w:r w:rsidR="00DE6C5E" w:rsidRPr="000C1AAE">
              <w:rPr>
                <w:rFonts w:ascii="Calibri" w:hAnsi="Calibri" w:cs="Calibri"/>
                <w:sz w:val="20"/>
                <w:szCs w:val="20"/>
                <w:lang w:val="en"/>
              </w:rPr>
              <w:t xml:space="preserve"> </w:t>
            </w:r>
          </w:p>
        </w:tc>
        <w:tc>
          <w:tcPr>
            <w:tcW w:w="1407" w:type="dxa"/>
            <w:vAlign w:val="center"/>
          </w:tcPr>
          <w:p w14:paraId="7EBC4AE4" w14:textId="77777777" w:rsidR="00522451" w:rsidRPr="000C1AAE" w:rsidRDefault="00522451" w:rsidP="000C1AAE">
            <w:pPr>
              <w:jc w:val="center"/>
              <w:rPr>
                <w:rFonts w:ascii="Calibri" w:hAnsi="Calibri" w:cs="Calibri"/>
                <w:sz w:val="20"/>
                <w:szCs w:val="20"/>
                <w:vertAlign w:val="superscript"/>
                <w:lang w:val="en"/>
              </w:rPr>
            </w:pPr>
            <w:r w:rsidRPr="000C1AAE">
              <w:rPr>
                <w:rFonts w:ascii="Calibri" w:hAnsi="Calibri" w:cs="Calibri"/>
                <w:sz w:val="20"/>
                <w:szCs w:val="20"/>
                <w:lang w:val="en"/>
              </w:rPr>
              <w:t>W/m</w:t>
            </w:r>
            <w:r w:rsidRPr="000C1AAE">
              <w:rPr>
                <w:rFonts w:ascii="Calibri" w:hAnsi="Calibri" w:cs="Calibri"/>
                <w:sz w:val="20"/>
                <w:szCs w:val="20"/>
                <w:vertAlign w:val="superscript"/>
                <w:lang w:val="en"/>
              </w:rPr>
              <w:t>2</w:t>
            </w:r>
            <w:r w:rsidRPr="000C1AAE">
              <w:rPr>
                <w:rFonts w:ascii="Calibri" w:hAnsi="Calibri" w:cs="Calibri"/>
                <w:sz w:val="20"/>
                <w:szCs w:val="20"/>
                <w:lang w:val="en"/>
              </w:rPr>
              <w:t xml:space="preserve"> or W/ft</w:t>
            </w:r>
            <w:r w:rsidRPr="000C1AAE">
              <w:rPr>
                <w:rFonts w:ascii="Calibri" w:hAnsi="Calibri" w:cs="Calibri"/>
                <w:sz w:val="20"/>
                <w:szCs w:val="20"/>
                <w:vertAlign w:val="superscript"/>
                <w:lang w:val="en"/>
              </w:rPr>
              <w:t>2</w:t>
            </w:r>
          </w:p>
        </w:tc>
        <w:tc>
          <w:tcPr>
            <w:tcW w:w="3083" w:type="dxa"/>
            <w:vAlign w:val="center"/>
          </w:tcPr>
          <w:p w14:paraId="189202FE" w14:textId="77777777"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Lighting Power Allowance</w:t>
            </w:r>
          </w:p>
        </w:tc>
      </w:tr>
      <w:tr w:rsidR="00522451" w:rsidRPr="000C1AAE" w14:paraId="62ADB751" w14:textId="77777777" w:rsidTr="00250344">
        <w:tc>
          <w:tcPr>
            <w:tcW w:w="4860" w:type="dxa"/>
            <w:vAlign w:val="center"/>
          </w:tcPr>
          <w:p w14:paraId="1C3F22AE" w14:textId="39FAA4FA" w:rsidR="00522451" w:rsidRPr="000C1AAE" w:rsidRDefault="00522451" w:rsidP="000C1AAE">
            <w:pPr>
              <w:rPr>
                <w:rFonts w:ascii="Calibri" w:hAnsi="Calibri" w:cs="Calibri"/>
                <w:sz w:val="20"/>
                <w:szCs w:val="20"/>
                <w:lang w:val="it-IT"/>
              </w:rPr>
            </w:pPr>
            <w:r w:rsidRPr="000C1AAE">
              <w:rPr>
                <w:rFonts w:ascii="Calibri" w:hAnsi="Calibri" w:cs="Calibri"/>
                <w:sz w:val="20"/>
                <w:szCs w:val="20"/>
                <w:lang w:val="it-IT"/>
              </w:rPr>
              <w:t xml:space="preserve">California Title 24 </w:t>
            </w:r>
            <w:r w:rsidR="00DE6C5E">
              <w:rPr>
                <w:rFonts w:ascii="Calibri" w:hAnsi="Calibri" w:cs="Calibri"/>
                <w:sz w:val="20"/>
                <w:szCs w:val="20"/>
                <w:lang w:val="it-IT"/>
              </w:rPr>
              <w:t>–</w:t>
            </w:r>
            <w:r w:rsidRPr="000C1AAE">
              <w:rPr>
                <w:rFonts w:ascii="Calibri" w:hAnsi="Calibri" w:cs="Calibri"/>
                <w:sz w:val="20"/>
                <w:szCs w:val="20"/>
                <w:lang w:val="it-IT"/>
              </w:rPr>
              <w:t xml:space="preserve"> Commercial</w:t>
            </w:r>
            <w:r w:rsidR="00DE6C5E">
              <w:rPr>
                <w:rFonts w:ascii="Calibri" w:hAnsi="Calibri" w:cs="Calibri"/>
                <w:sz w:val="20"/>
                <w:szCs w:val="20"/>
                <w:lang w:val="it-IT"/>
              </w:rPr>
              <w:t xml:space="preserve"> (California Energy Comission 2019)</w:t>
            </w:r>
            <w:r w:rsidR="00DE6C5E" w:rsidRPr="000C1AAE">
              <w:rPr>
                <w:rFonts w:ascii="Calibri" w:hAnsi="Calibri" w:cs="Calibri"/>
                <w:sz w:val="20"/>
                <w:szCs w:val="20"/>
                <w:lang w:val="it-IT"/>
              </w:rPr>
              <w:t xml:space="preserve"> </w:t>
            </w:r>
          </w:p>
        </w:tc>
        <w:tc>
          <w:tcPr>
            <w:tcW w:w="1407" w:type="dxa"/>
            <w:vAlign w:val="center"/>
          </w:tcPr>
          <w:p w14:paraId="3D222B7A" w14:textId="77777777" w:rsidR="00522451" w:rsidRPr="000C1AAE" w:rsidRDefault="00522451" w:rsidP="000C1AAE">
            <w:pPr>
              <w:jc w:val="center"/>
              <w:rPr>
                <w:rFonts w:ascii="Calibri" w:hAnsi="Calibri" w:cs="Calibri"/>
                <w:sz w:val="20"/>
                <w:szCs w:val="20"/>
                <w:lang w:val="en"/>
              </w:rPr>
            </w:pPr>
            <w:r w:rsidRPr="000C1AAE">
              <w:rPr>
                <w:rFonts w:ascii="Calibri" w:hAnsi="Calibri" w:cs="Calibri"/>
                <w:sz w:val="20"/>
                <w:szCs w:val="20"/>
                <w:lang w:val="en"/>
              </w:rPr>
              <w:t>W/ft</w:t>
            </w:r>
            <w:r w:rsidRPr="000C1AAE">
              <w:rPr>
                <w:rFonts w:ascii="Calibri" w:hAnsi="Calibri" w:cs="Calibri"/>
                <w:sz w:val="20"/>
                <w:szCs w:val="20"/>
                <w:vertAlign w:val="superscript"/>
                <w:lang w:val="en"/>
              </w:rPr>
              <w:t>2</w:t>
            </w:r>
          </w:p>
        </w:tc>
        <w:tc>
          <w:tcPr>
            <w:tcW w:w="3083" w:type="dxa"/>
            <w:vAlign w:val="center"/>
          </w:tcPr>
          <w:p w14:paraId="62EABEFC" w14:textId="77777777"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Lighting Power Allotment</w:t>
            </w:r>
          </w:p>
        </w:tc>
      </w:tr>
      <w:tr w:rsidR="00522451" w:rsidRPr="000C1AAE" w14:paraId="55D34FD3" w14:textId="77777777" w:rsidTr="00250344">
        <w:tc>
          <w:tcPr>
            <w:tcW w:w="4860" w:type="dxa"/>
            <w:vAlign w:val="center"/>
          </w:tcPr>
          <w:p w14:paraId="3D5E7C3D" w14:textId="054F54C5"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IECC Commercial Lighting</w:t>
            </w:r>
            <w:r w:rsidR="00DE6C5E">
              <w:rPr>
                <w:rFonts w:ascii="Calibri" w:hAnsi="Calibri" w:cs="Calibri"/>
                <w:sz w:val="20"/>
                <w:szCs w:val="20"/>
                <w:lang w:val="en"/>
              </w:rPr>
              <w:t xml:space="preserve"> (International Code Council 2018a)</w:t>
            </w:r>
            <w:r w:rsidR="00DE6C5E" w:rsidRPr="000C1AAE">
              <w:rPr>
                <w:rFonts w:ascii="Calibri" w:hAnsi="Calibri" w:cs="Calibri"/>
                <w:sz w:val="20"/>
                <w:szCs w:val="20"/>
                <w:lang w:val="en"/>
              </w:rPr>
              <w:t xml:space="preserve"> </w:t>
            </w:r>
          </w:p>
        </w:tc>
        <w:tc>
          <w:tcPr>
            <w:tcW w:w="1407" w:type="dxa"/>
            <w:vAlign w:val="center"/>
          </w:tcPr>
          <w:p w14:paraId="6CD0F385" w14:textId="77777777" w:rsidR="00522451" w:rsidRPr="000C1AAE" w:rsidRDefault="00522451" w:rsidP="000C1AAE">
            <w:pPr>
              <w:jc w:val="center"/>
              <w:rPr>
                <w:rFonts w:ascii="Calibri" w:hAnsi="Calibri" w:cs="Calibri"/>
                <w:sz w:val="20"/>
                <w:szCs w:val="20"/>
                <w:vertAlign w:val="superscript"/>
                <w:lang w:val="en"/>
              </w:rPr>
            </w:pPr>
            <w:r w:rsidRPr="000C1AAE">
              <w:rPr>
                <w:rFonts w:ascii="Calibri" w:hAnsi="Calibri" w:cs="Calibri"/>
                <w:sz w:val="20"/>
                <w:szCs w:val="20"/>
                <w:lang w:val="en"/>
              </w:rPr>
              <w:t>W/m</w:t>
            </w:r>
            <w:r w:rsidRPr="000C1AAE">
              <w:rPr>
                <w:rFonts w:ascii="Calibri" w:hAnsi="Calibri" w:cs="Calibri"/>
                <w:sz w:val="20"/>
                <w:szCs w:val="20"/>
                <w:vertAlign w:val="superscript"/>
                <w:lang w:val="en"/>
              </w:rPr>
              <w:t>2</w:t>
            </w:r>
            <w:r w:rsidRPr="000C1AAE">
              <w:rPr>
                <w:rFonts w:ascii="Calibri" w:hAnsi="Calibri" w:cs="Calibri"/>
                <w:sz w:val="20"/>
                <w:szCs w:val="20"/>
                <w:lang w:val="en"/>
              </w:rPr>
              <w:t xml:space="preserve"> or W/ft</w:t>
            </w:r>
            <w:r w:rsidRPr="000C1AAE">
              <w:rPr>
                <w:rFonts w:ascii="Calibri" w:hAnsi="Calibri" w:cs="Calibri"/>
                <w:sz w:val="20"/>
                <w:szCs w:val="20"/>
                <w:vertAlign w:val="superscript"/>
                <w:lang w:val="en"/>
              </w:rPr>
              <w:t>2</w:t>
            </w:r>
          </w:p>
        </w:tc>
        <w:tc>
          <w:tcPr>
            <w:tcW w:w="3083" w:type="dxa"/>
            <w:vAlign w:val="center"/>
          </w:tcPr>
          <w:p w14:paraId="271B1A79" w14:textId="77777777"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Lighting Power Allowance</w:t>
            </w:r>
          </w:p>
        </w:tc>
      </w:tr>
      <w:tr w:rsidR="00522451" w:rsidRPr="000C1AAE" w14:paraId="274D82A6" w14:textId="77777777" w:rsidTr="00250344">
        <w:tc>
          <w:tcPr>
            <w:tcW w:w="4860" w:type="dxa"/>
            <w:vAlign w:val="center"/>
          </w:tcPr>
          <w:p w14:paraId="26AA3083" w14:textId="3CDAB34D"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IECC Residential</w:t>
            </w:r>
            <w:r w:rsidR="00DE6C5E">
              <w:rPr>
                <w:rFonts w:ascii="Calibri" w:hAnsi="Calibri" w:cs="Calibri"/>
                <w:sz w:val="20"/>
                <w:szCs w:val="20"/>
                <w:lang w:val="en"/>
              </w:rPr>
              <w:t xml:space="preserve"> (International Code Council 2018a)</w:t>
            </w:r>
          </w:p>
        </w:tc>
        <w:tc>
          <w:tcPr>
            <w:tcW w:w="1407" w:type="dxa"/>
            <w:vAlign w:val="center"/>
          </w:tcPr>
          <w:p w14:paraId="6A13E9C7" w14:textId="77777777" w:rsidR="00522451" w:rsidRPr="000C1AAE" w:rsidRDefault="00522451" w:rsidP="000C1AAE">
            <w:pPr>
              <w:jc w:val="center"/>
              <w:rPr>
                <w:rFonts w:ascii="Calibri" w:hAnsi="Calibri" w:cs="Calibri"/>
                <w:sz w:val="20"/>
                <w:szCs w:val="20"/>
                <w:lang w:val="en"/>
              </w:rPr>
            </w:pPr>
            <w:r w:rsidRPr="000C1AAE">
              <w:rPr>
                <w:rFonts w:ascii="Calibri" w:hAnsi="Calibri" w:cs="Calibri"/>
                <w:sz w:val="20"/>
                <w:szCs w:val="20"/>
                <w:lang w:val="en"/>
              </w:rPr>
              <w:t>% of Fixtures</w:t>
            </w:r>
          </w:p>
        </w:tc>
        <w:tc>
          <w:tcPr>
            <w:tcW w:w="3083" w:type="dxa"/>
            <w:vAlign w:val="center"/>
          </w:tcPr>
          <w:p w14:paraId="18FC6F7B" w14:textId="77777777"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Number of fixtures, 90% must be high efficiency</w:t>
            </w:r>
          </w:p>
        </w:tc>
      </w:tr>
      <w:tr w:rsidR="00522451" w:rsidRPr="000C1AAE" w14:paraId="1B6BE298" w14:textId="77777777" w:rsidTr="00250344">
        <w:tc>
          <w:tcPr>
            <w:tcW w:w="4860" w:type="dxa"/>
            <w:vAlign w:val="center"/>
          </w:tcPr>
          <w:p w14:paraId="6399E049" w14:textId="5A8BB32F" w:rsidR="00522451" w:rsidRPr="000C1AAE" w:rsidRDefault="00522451" w:rsidP="000C1AAE">
            <w:pPr>
              <w:rPr>
                <w:rFonts w:ascii="Calibri" w:hAnsi="Calibri" w:cs="Calibri"/>
                <w:sz w:val="20"/>
                <w:szCs w:val="20"/>
                <w:lang w:val="en"/>
              </w:rPr>
            </w:pPr>
            <w:proofErr w:type="spellStart"/>
            <w:r w:rsidRPr="000C1AAE">
              <w:rPr>
                <w:rFonts w:ascii="Calibri" w:hAnsi="Calibri" w:cs="Calibri"/>
                <w:sz w:val="20"/>
                <w:szCs w:val="20"/>
                <w:lang w:val="en"/>
              </w:rPr>
              <w:t>IgCC</w:t>
            </w:r>
            <w:proofErr w:type="spellEnd"/>
            <w:r w:rsidR="00DE6C5E">
              <w:rPr>
                <w:rFonts w:ascii="Calibri" w:hAnsi="Calibri" w:cs="Calibri"/>
                <w:sz w:val="20"/>
                <w:szCs w:val="20"/>
                <w:lang w:val="en"/>
              </w:rPr>
              <w:t xml:space="preserve"> (International Code Council 2018b)</w:t>
            </w:r>
            <w:r w:rsidR="00DE6C5E" w:rsidRPr="000C1AAE">
              <w:rPr>
                <w:rFonts w:ascii="Calibri" w:hAnsi="Calibri" w:cs="Calibri"/>
                <w:sz w:val="20"/>
                <w:szCs w:val="20"/>
                <w:lang w:val="en"/>
              </w:rPr>
              <w:t xml:space="preserve"> </w:t>
            </w:r>
          </w:p>
        </w:tc>
        <w:tc>
          <w:tcPr>
            <w:tcW w:w="1407" w:type="dxa"/>
            <w:vAlign w:val="center"/>
          </w:tcPr>
          <w:p w14:paraId="213E4363" w14:textId="77777777" w:rsidR="00522451" w:rsidRPr="000C1AAE" w:rsidRDefault="00522451" w:rsidP="000C1AAE">
            <w:pPr>
              <w:jc w:val="center"/>
              <w:rPr>
                <w:rFonts w:ascii="Calibri" w:hAnsi="Calibri" w:cs="Calibri"/>
                <w:sz w:val="20"/>
                <w:szCs w:val="20"/>
                <w:lang w:val="en"/>
              </w:rPr>
            </w:pPr>
            <w:r w:rsidRPr="000C1AAE">
              <w:rPr>
                <w:rFonts w:ascii="Calibri" w:hAnsi="Calibri" w:cs="Calibri"/>
                <w:sz w:val="20"/>
                <w:szCs w:val="20"/>
                <w:lang w:val="en"/>
              </w:rPr>
              <w:t>W/m</w:t>
            </w:r>
            <w:r w:rsidRPr="000C1AAE">
              <w:rPr>
                <w:rFonts w:ascii="Calibri" w:hAnsi="Calibri" w:cs="Calibri"/>
                <w:sz w:val="20"/>
                <w:szCs w:val="20"/>
                <w:vertAlign w:val="superscript"/>
                <w:lang w:val="en"/>
              </w:rPr>
              <w:t>2</w:t>
            </w:r>
          </w:p>
        </w:tc>
        <w:tc>
          <w:tcPr>
            <w:tcW w:w="3083" w:type="dxa"/>
            <w:vAlign w:val="center"/>
          </w:tcPr>
          <w:p w14:paraId="6CABF1E5" w14:textId="77777777"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Lighting Power Allowance</w:t>
            </w:r>
          </w:p>
        </w:tc>
      </w:tr>
      <w:tr w:rsidR="00522451" w:rsidRPr="000C1AAE" w14:paraId="577AEF05" w14:textId="77777777" w:rsidTr="00250344">
        <w:tc>
          <w:tcPr>
            <w:tcW w:w="4860" w:type="dxa"/>
            <w:vAlign w:val="center"/>
          </w:tcPr>
          <w:p w14:paraId="14E09333" w14:textId="402E408C"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 xml:space="preserve">EU Manual of </w:t>
            </w:r>
            <w:r w:rsidR="00DE6C5E" w:rsidRPr="000C1AAE">
              <w:rPr>
                <w:rFonts w:ascii="Calibri" w:hAnsi="Calibri" w:cs="Calibri"/>
                <w:sz w:val="20"/>
                <w:szCs w:val="20"/>
                <w:lang w:val="en"/>
              </w:rPr>
              <w:t>Standard Building Spe</w:t>
            </w:r>
            <w:r w:rsidRPr="000C1AAE">
              <w:rPr>
                <w:rFonts w:ascii="Calibri" w:hAnsi="Calibri" w:cs="Calibri"/>
                <w:sz w:val="20"/>
                <w:szCs w:val="20"/>
                <w:lang w:val="en"/>
              </w:rPr>
              <w:t>cifications</w:t>
            </w:r>
            <w:r w:rsidR="00DE6C5E">
              <w:rPr>
                <w:rFonts w:ascii="Calibri" w:hAnsi="Calibri" w:cs="Calibri"/>
                <w:sz w:val="20"/>
                <w:szCs w:val="20"/>
                <w:lang w:val="en"/>
              </w:rPr>
              <w:t xml:space="preserve"> (European Commission 2011)</w:t>
            </w:r>
            <w:r w:rsidR="00DE6C5E" w:rsidRPr="000C1AAE">
              <w:rPr>
                <w:rFonts w:ascii="Calibri" w:hAnsi="Calibri" w:cs="Calibri"/>
                <w:sz w:val="20"/>
                <w:szCs w:val="20"/>
                <w:lang w:val="en"/>
              </w:rPr>
              <w:t xml:space="preserve"> </w:t>
            </w:r>
          </w:p>
        </w:tc>
        <w:tc>
          <w:tcPr>
            <w:tcW w:w="1407" w:type="dxa"/>
            <w:vAlign w:val="center"/>
          </w:tcPr>
          <w:p w14:paraId="067BC4ED" w14:textId="77777777" w:rsidR="00522451" w:rsidRPr="000C1AAE" w:rsidRDefault="00522451" w:rsidP="000C1AAE">
            <w:pPr>
              <w:jc w:val="center"/>
              <w:rPr>
                <w:rFonts w:ascii="Calibri" w:hAnsi="Calibri" w:cs="Calibri"/>
                <w:sz w:val="20"/>
                <w:szCs w:val="20"/>
                <w:lang w:val="en"/>
              </w:rPr>
            </w:pPr>
            <w:r w:rsidRPr="000C1AAE">
              <w:rPr>
                <w:rFonts w:ascii="Calibri" w:hAnsi="Calibri" w:cs="Calibri"/>
                <w:sz w:val="20"/>
                <w:szCs w:val="20"/>
                <w:lang w:val="en"/>
              </w:rPr>
              <w:t>8 W/m</w:t>
            </w:r>
            <w:r w:rsidRPr="000C1AAE">
              <w:rPr>
                <w:rFonts w:ascii="Calibri" w:hAnsi="Calibri" w:cs="Calibri"/>
                <w:sz w:val="20"/>
                <w:szCs w:val="20"/>
                <w:vertAlign w:val="superscript"/>
                <w:lang w:val="en"/>
              </w:rPr>
              <w:t>2</w:t>
            </w:r>
          </w:p>
        </w:tc>
        <w:tc>
          <w:tcPr>
            <w:tcW w:w="3083" w:type="dxa"/>
            <w:vAlign w:val="center"/>
          </w:tcPr>
          <w:p w14:paraId="553E70D1" w14:textId="77777777" w:rsidR="00522451" w:rsidRPr="000C1AAE" w:rsidRDefault="00522451" w:rsidP="000C1AAE">
            <w:pPr>
              <w:rPr>
                <w:rFonts w:ascii="Calibri" w:hAnsi="Calibri" w:cs="Calibri"/>
                <w:sz w:val="20"/>
                <w:szCs w:val="20"/>
                <w:lang w:val="en"/>
              </w:rPr>
            </w:pPr>
            <w:r w:rsidRPr="000C1AAE">
              <w:rPr>
                <w:rFonts w:ascii="Calibri" w:hAnsi="Calibri" w:cs="Calibri"/>
                <w:sz w:val="20"/>
                <w:szCs w:val="20"/>
                <w:lang w:val="en"/>
              </w:rPr>
              <w:t>Exception for special purpose rooms</w:t>
            </w:r>
          </w:p>
        </w:tc>
      </w:tr>
    </w:tbl>
    <w:p w14:paraId="2342EFD8" w14:textId="33E39C09" w:rsidR="009A1BAA" w:rsidRDefault="009A1BAA" w:rsidP="00622835">
      <w:pPr>
        <w:pStyle w:val="Heading3"/>
      </w:pPr>
      <w:r>
        <w:t>References</w:t>
      </w:r>
    </w:p>
    <w:p w14:paraId="3E8DC136" w14:textId="76AFD80D" w:rsidR="00AE0117" w:rsidRDefault="00AE0117" w:rsidP="00AE0117">
      <w:pPr>
        <w:pStyle w:val="BodyText"/>
      </w:pPr>
      <w:r>
        <w:t xml:space="preserve">ASHRAE, ANSI, &amp; IESNA. 2016. </w:t>
      </w:r>
      <w:r w:rsidRPr="00AE0117">
        <w:rPr>
          <w:i/>
          <w:iCs/>
        </w:rPr>
        <w:t>Standard 90.1</w:t>
      </w:r>
      <w:r>
        <w:t>.</w:t>
      </w:r>
      <w:r w:rsidR="007F50D8">
        <w:t xml:space="preserve"> </w:t>
      </w:r>
      <w:hyperlink r:id="rId14" w:history="1">
        <w:r w:rsidR="007F50D8" w:rsidRPr="007F50D8">
          <w:rPr>
            <w:rFonts w:eastAsia="Arial" w:cs="Times New Roman"/>
            <w:color w:val="0563C1"/>
            <w:u w:val="single"/>
          </w:rPr>
          <w:t>https://www.ashrae.org/technical-resources/bookstore/standard-90-1</w:t>
        </w:r>
      </w:hyperlink>
    </w:p>
    <w:p w14:paraId="5F3A02B1" w14:textId="17CBF5B9" w:rsidR="00AE0117" w:rsidRDefault="00AE0117" w:rsidP="00AE0117">
      <w:pPr>
        <w:pStyle w:val="BodyText"/>
      </w:pPr>
      <w:r>
        <w:t xml:space="preserve">California Energy Commission. 2019. </w:t>
      </w:r>
      <w:r w:rsidRPr="00AE0117">
        <w:rPr>
          <w:i/>
          <w:iCs/>
        </w:rPr>
        <w:t>Building Energy Efficiency Standards for Residential and Nonresidential Buildings</w:t>
      </w:r>
      <w:r>
        <w:t>. Pub. L. No. Title 24.</w:t>
      </w:r>
      <w:r w:rsidR="00B96251">
        <w:t xml:space="preserve"> </w:t>
      </w:r>
      <w:hyperlink r:id="rId15" w:history="1">
        <w:r w:rsidR="00B96251" w:rsidRPr="00B96251">
          <w:rPr>
            <w:rFonts w:eastAsia="Arial" w:cs="Times New Roman"/>
            <w:color w:val="0563C1"/>
            <w:u w:val="single"/>
          </w:rPr>
          <w:t>https://www.energy.ca.gov/programs-and-topics/programs/building-energy-efficiency-standards/2019-building-energy-efficiency</w:t>
        </w:r>
      </w:hyperlink>
    </w:p>
    <w:p w14:paraId="4F86247B" w14:textId="4A9CAE5A" w:rsidR="00AE0117" w:rsidRDefault="00AE0117" w:rsidP="00AE0117">
      <w:pPr>
        <w:pStyle w:val="BodyText"/>
      </w:pPr>
      <w:r>
        <w:t xml:space="preserve">European Commission. 2011. </w:t>
      </w:r>
      <w:r w:rsidRPr="00AE0117">
        <w:rPr>
          <w:i/>
          <w:iCs/>
        </w:rPr>
        <w:t>Manual of standard building specifications</w:t>
      </w:r>
      <w:r>
        <w:t>.</w:t>
      </w:r>
      <w:r w:rsidR="00B96251">
        <w:t xml:space="preserve"> </w:t>
      </w:r>
      <w:hyperlink r:id="rId16" w:history="1">
        <w:r w:rsidR="00104A5B" w:rsidRPr="00104A5B">
          <w:rPr>
            <w:rFonts w:eastAsia="Arial" w:cs="Times New Roman"/>
            <w:color w:val="0563C1"/>
            <w:u w:val="single"/>
          </w:rPr>
          <w:t>https://ec.europa.eu/oib/pdf/mit-standard-building-specs_en.pdf</w:t>
        </w:r>
      </w:hyperlink>
    </w:p>
    <w:p w14:paraId="683256E7" w14:textId="067B9FD1" w:rsidR="00AE0117" w:rsidRDefault="00AE0117" w:rsidP="00AE0117">
      <w:pPr>
        <w:pStyle w:val="BodyText"/>
      </w:pPr>
      <w:r>
        <w:t>International Code Council.</w:t>
      </w:r>
      <w:r w:rsidR="00DE6C5E">
        <w:t xml:space="preserve"> 2018a.</w:t>
      </w:r>
      <w:r>
        <w:t xml:space="preserve"> </w:t>
      </w:r>
      <w:r w:rsidRPr="00DE6C5E">
        <w:rPr>
          <w:i/>
          <w:iCs/>
        </w:rPr>
        <w:t>International Energy Conservation Code (IECC)</w:t>
      </w:r>
      <w:r>
        <w:t>.</w:t>
      </w:r>
      <w:r w:rsidR="00104A5B">
        <w:t xml:space="preserve"> </w:t>
      </w:r>
      <w:hyperlink r:id="rId17" w:history="1">
        <w:r w:rsidR="00763AAF" w:rsidRPr="00763AAF">
          <w:rPr>
            <w:rFonts w:eastAsia="Arial" w:cs="Times New Roman"/>
            <w:color w:val="0563C1"/>
            <w:u w:val="single"/>
          </w:rPr>
          <w:t>https://codes.iccsafe.org/content/iecc2018</w:t>
        </w:r>
      </w:hyperlink>
    </w:p>
    <w:p w14:paraId="6E3CBC0C" w14:textId="7932A69E" w:rsidR="00AE0117" w:rsidRDefault="00AE0117" w:rsidP="00AE0117">
      <w:pPr>
        <w:pStyle w:val="BodyText"/>
      </w:pPr>
      <w:r>
        <w:lastRenderedPageBreak/>
        <w:t>International Code Council.</w:t>
      </w:r>
      <w:r w:rsidR="00DE6C5E">
        <w:t xml:space="preserve"> 2018b.</w:t>
      </w:r>
      <w:r>
        <w:t xml:space="preserve"> </w:t>
      </w:r>
      <w:r w:rsidRPr="00DE6C5E">
        <w:rPr>
          <w:i/>
          <w:iCs/>
        </w:rPr>
        <w:t>International Green Construction Code (</w:t>
      </w:r>
      <w:proofErr w:type="spellStart"/>
      <w:r w:rsidRPr="00DE6C5E">
        <w:rPr>
          <w:i/>
          <w:iCs/>
        </w:rPr>
        <w:t>IgCC</w:t>
      </w:r>
      <w:proofErr w:type="spellEnd"/>
      <w:r w:rsidRPr="00DE6C5E">
        <w:rPr>
          <w:i/>
          <w:iCs/>
        </w:rPr>
        <w:t>)</w:t>
      </w:r>
      <w:r>
        <w:t>.</w:t>
      </w:r>
      <w:r w:rsidR="00250344">
        <w:t xml:space="preserve"> </w:t>
      </w:r>
      <w:hyperlink r:id="rId18" w:history="1">
        <w:r w:rsidR="00250344" w:rsidRPr="00250344">
          <w:rPr>
            <w:rFonts w:eastAsia="Arial" w:cs="Times New Roman"/>
            <w:color w:val="0563C1"/>
            <w:u w:val="single"/>
          </w:rPr>
          <w:t>https://www.iccsafe.org/products-and-services/i-codes/2018-i-codes/igcc/</w:t>
        </w:r>
      </w:hyperlink>
    </w:p>
    <w:p w14:paraId="57942E16" w14:textId="1C0C23A3" w:rsidR="00710E88" w:rsidRPr="00622835" w:rsidRDefault="00710E88" w:rsidP="008B5022">
      <w:pPr>
        <w:pStyle w:val="Heading2"/>
        <w:keepLines/>
      </w:pPr>
      <w:r w:rsidRPr="00622835">
        <w:t xml:space="preserve">Learning Objective </w:t>
      </w:r>
      <w:r>
        <w:t>3.2</w:t>
      </w:r>
    </w:p>
    <w:p w14:paraId="6AB8E951" w14:textId="3A5D8828" w:rsidR="00710E88" w:rsidRPr="00622835" w:rsidRDefault="00271FCD" w:rsidP="008B5022">
      <w:pPr>
        <w:pStyle w:val="BodyText"/>
        <w:keepNext/>
        <w:keepLines/>
      </w:pPr>
      <w:r w:rsidRPr="007C56BA">
        <w:t>Estimate the plug loads for a simple home</w:t>
      </w:r>
      <w:r w:rsidR="00710E88" w:rsidRPr="00622835">
        <w:t xml:space="preserve">. </w:t>
      </w:r>
    </w:p>
    <w:p w14:paraId="52DBB4C5" w14:textId="77777777" w:rsidR="00710E88" w:rsidRPr="00622835" w:rsidRDefault="00710E88" w:rsidP="008B5022">
      <w:pPr>
        <w:pStyle w:val="Heading3"/>
        <w:keepLines/>
      </w:pPr>
      <w:r w:rsidRPr="00622835">
        <w:t>Lecture Notes</w:t>
      </w:r>
    </w:p>
    <w:p w14:paraId="7F119AC1" w14:textId="77777777" w:rsidR="005856DF" w:rsidRPr="00F41E9B" w:rsidRDefault="005856DF" w:rsidP="00392A02">
      <w:pPr>
        <w:pStyle w:val="BodyText"/>
      </w:pPr>
      <w:r w:rsidRPr="00272692">
        <w:t xml:space="preserve">Estimating the plug loads and appliance loads for a residential building can be helpful to improve energy efficiency. </w:t>
      </w:r>
    </w:p>
    <w:p w14:paraId="616AEB6D" w14:textId="77777777" w:rsidR="005856DF" w:rsidRPr="0070467F" w:rsidRDefault="005856DF" w:rsidP="00392A02">
      <w:pPr>
        <w:pStyle w:val="ListNumber"/>
        <w:numPr>
          <w:ilvl w:val="0"/>
          <w:numId w:val="29"/>
        </w:numPr>
      </w:pPr>
      <w:r w:rsidRPr="00D1328E">
        <w:t>Start by making a list of the types of small and large</w:t>
      </w:r>
      <w:r w:rsidRPr="0070467F">
        <w:t xml:space="preserve"> appliances that most home occupants would plug in. Consider thinking about each room or space separately. </w:t>
      </w:r>
    </w:p>
    <w:p w14:paraId="5DD6A49D" w14:textId="0E76E012" w:rsidR="005856DF" w:rsidRPr="008A72E8" w:rsidRDefault="005856DF" w:rsidP="00392A02">
      <w:pPr>
        <w:pStyle w:val="ListNumber"/>
      </w:pPr>
      <w:r w:rsidRPr="0070467F">
        <w:t>For each plug load or appliance</w:t>
      </w:r>
      <w:r w:rsidR="00CC2FEC">
        <w:t>,</w:t>
      </w:r>
      <w:r w:rsidRPr="0070467F">
        <w:t xml:space="preserve"> estimate the typical power rating. You can use the labels on the back of most consumer appliances, or you can look u</w:t>
      </w:r>
      <w:r w:rsidRPr="00CF35BF">
        <w:t xml:space="preserve">p typical items on the internet. </w:t>
      </w:r>
      <w:r w:rsidRPr="007947E7">
        <w:t>You may also be able to measure the plug loads physically using a plug meter.</w:t>
      </w:r>
    </w:p>
    <w:p w14:paraId="0E760A15" w14:textId="77777777" w:rsidR="005856DF" w:rsidRPr="007D66C1" w:rsidRDefault="005856DF" w:rsidP="00392A02">
      <w:pPr>
        <w:pStyle w:val="ListNumber"/>
      </w:pPr>
      <w:r w:rsidRPr="007D66C1">
        <w:t xml:space="preserve">Add up the total plug load estimate for the building. </w:t>
      </w:r>
    </w:p>
    <w:p w14:paraId="616D8272" w14:textId="76A2D44B" w:rsidR="005856DF" w:rsidRPr="0070467F" w:rsidRDefault="005856DF" w:rsidP="00392A02">
      <w:pPr>
        <w:pStyle w:val="ListNumber"/>
      </w:pPr>
      <w:r w:rsidRPr="007C56BA">
        <w:t xml:space="preserve">Consider each item on your final list and determine if energy efficiency could be improved by specifying </w:t>
      </w:r>
      <w:proofErr w:type="spellStart"/>
      <w:r>
        <w:t>EnergySTAR</w:t>
      </w:r>
      <w:proofErr w:type="spellEnd"/>
      <w:r>
        <w:t>®</w:t>
      </w:r>
      <w:r w:rsidRPr="0070467F">
        <w:t xml:space="preserve"> products or management with smart controls. </w:t>
      </w:r>
    </w:p>
    <w:p w14:paraId="41323FCF" w14:textId="49445BC4" w:rsidR="005856DF" w:rsidRDefault="005856DF" w:rsidP="00392A02">
      <w:pPr>
        <w:pStyle w:val="BodyText"/>
      </w:pPr>
      <w:r w:rsidRPr="00CF35BF">
        <w:t>You may use a worksheet like the one below to keep track of your plug load calculations.</w:t>
      </w:r>
      <w:r w:rsidRPr="007947E7">
        <w:t xml:space="preserve"> In this example</w:t>
      </w:r>
      <w:r w:rsidR="00957A72">
        <w:t>,</w:t>
      </w:r>
      <w:r w:rsidRPr="007947E7">
        <w:t xml:space="preserve"> we consider two common plug loads, a reading lamp and a coffee maker. While the</w:t>
      </w:r>
      <w:r w:rsidRPr="008A72E8">
        <w:t xml:space="preserve"> coffee maker has a much higher power rating, the appliance is only used for a few minutes each day, but the lamps is operated every day for several hours. </w:t>
      </w:r>
    </w:p>
    <w:p w14:paraId="3FC6AD5C" w14:textId="563DA1B8" w:rsidR="005856DF" w:rsidRPr="00A54F88" w:rsidRDefault="00392A02" w:rsidP="00392A02">
      <w:pPr>
        <w:pStyle w:val="Caption-Tab"/>
        <w:jc w:val="center"/>
      </w:pPr>
      <w:r>
        <w:t xml:space="preserve">Table </w:t>
      </w:r>
      <w:r w:rsidR="007F72B5">
        <w:fldChar w:fldCharType="begin"/>
      </w:r>
      <w:r w:rsidR="007F72B5">
        <w:instrText xml:space="preserve"> SEQ Table \* ARABIC </w:instrText>
      </w:r>
      <w:r w:rsidR="007F72B5">
        <w:fldChar w:fldCharType="separate"/>
      </w:r>
      <w:r>
        <w:rPr>
          <w:noProof/>
        </w:rPr>
        <w:t>3</w:t>
      </w:r>
      <w:r w:rsidR="007F72B5">
        <w:rPr>
          <w:noProof/>
        </w:rPr>
        <w:fldChar w:fldCharType="end"/>
      </w:r>
      <w:r w:rsidRPr="00AF5EB6">
        <w:rPr>
          <w:lang w:val="en"/>
        </w:rPr>
        <w:t>.</w:t>
      </w:r>
      <w:r>
        <w:rPr>
          <w:lang w:val="en"/>
        </w:rPr>
        <w:t xml:space="preserve"> </w:t>
      </w:r>
      <w:r w:rsidR="005856DF">
        <w:t xml:space="preserve">Example </w:t>
      </w:r>
      <w:r>
        <w:t>plug load calculat</w:t>
      </w:r>
      <w:r w:rsidR="005856DF">
        <w:t>ions</w:t>
      </w:r>
    </w:p>
    <w:tbl>
      <w:tblPr>
        <w:tblStyle w:val="PNNLClassic"/>
        <w:tblW w:w="0" w:type="auto"/>
        <w:tblLook w:val="04A0" w:firstRow="1" w:lastRow="0" w:firstColumn="1" w:lastColumn="0" w:noHBand="0" w:noVBand="1"/>
      </w:tblPr>
      <w:tblGrid>
        <w:gridCol w:w="2335"/>
        <w:gridCol w:w="2324"/>
        <w:gridCol w:w="2330"/>
        <w:gridCol w:w="2330"/>
      </w:tblGrid>
      <w:tr w:rsidR="005856DF" w:rsidRPr="00392A02" w14:paraId="3D68CE16" w14:textId="77777777" w:rsidTr="00392A02">
        <w:trPr>
          <w:cnfStyle w:val="100000000000" w:firstRow="1" w:lastRow="0" w:firstColumn="0" w:lastColumn="0" w:oddVBand="0" w:evenVBand="0" w:oddHBand="0" w:evenHBand="0" w:firstRowFirstColumn="0" w:firstRowLastColumn="0" w:lastRowFirstColumn="0" w:lastRowLastColumn="0"/>
          <w:trHeight w:val="447"/>
        </w:trPr>
        <w:tc>
          <w:tcPr>
            <w:tcW w:w="2335" w:type="dxa"/>
            <w:vAlign w:val="center"/>
          </w:tcPr>
          <w:p w14:paraId="43F56F00" w14:textId="14A8396B" w:rsidR="005856DF" w:rsidRPr="00392A02" w:rsidRDefault="005856DF" w:rsidP="00392A02">
            <w:pPr>
              <w:rPr>
                <w:rFonts w:ascii="Calibri" w:hAnsi="Calibri" w:cs="Calibri"/>
                <w:b/>
                <w:bCs/>
                <w:sz w:val="20"/>
                <w:szCs w:val="20"/>
              </w:rPr>
            </w:pPr>
            <w:r w:rsidRPr="00392A02">
              <w:rPr>
                <w:rFonts w:ascii="Calibri" w:hAnsi="Calibri" w:cs="Calibri"/>
                <w:b/>
                <w:bCs/>
                <w:sz w:val="20"/>
                <w:szCs w:val="20"/>
              </w:rPr>
              <w:t>Plug Load</w:t>
            </w:r>
          </w:p>
        </w:tc>
        <w:tc>
          <w:tcPr>
            <w:tcW w:w="2324" w:type="dxa"/>
            <w:vAlign w:val="center"/>
          </w:tcPr>
          <w:p w14:paraId="39B01EE7" w14:textId="77777777" w:rsidR="005856DF" w:rsidRPr="00392A02" w:rsidRDefault="005856DF" w:rsidP="00392A02">
            <w:pPr>
              <w:rPr>
                <w:rFonts w:ascii="Calibri" w:hAnsi="Calibri" w:cs="Calibri"/>
                <w:b/>
                <w:bCs/>
                <w:sz w:val="20"/>
                <w:szCs w:val="20"/>
              </w:rPr>
            </w:pPr>
            <w:r w:rsidRPr="00392A02">
              <w:rPr>
                <w:rFonts w:ascii="Calibri" w:hAnsi="Calibri" w:cs="Calibri"/>
                <w:b/>
                <w:bCs/>
                <w:sz w:val="20"/>
                <w:szCs w:val="20"/>
              </w:rPr>
              <w:t>Room</w:t>
            </w:r>
          </w:p>
        </w:tc>
        <w:tc>
          <w:tcPr>
            <w:tcW w:w="2330" w:type="dxa"/>
            <w:vAlign w:val="center"/>
          </w:tcPr>
          <w:p w14:paraId="349E5DD5" w14:textId="77777777" w:rsidR="005856DF" w:rsidRPr="00392A02" w:rsidRDefault="005856DF" w:rsidP="00392A02">
            <w:pPr>
              <w:rPr>
                <w:rFonts w:ascii="Calibri" w:hAnsi="Calibri" w:cs="Calibri"/>
                <w:b/>
                <w:bCs/>
                <w:sz w:val="20"/>
                <w:szCs w:val="20"/>
              </w:rPr>
            </w:pPr>
            <w:r w:rsidRPr="00392A02">
              <w:rPr>
                <w:rFonts w:ascii="Calibri" w:hAnsi="Calibri" w:cs="Calibri"/>
                <w:b/>
                <w:bCs/>
                <w:sz w:val="20"/>
                <w:szCs w:val="20"/>
              </w:rPr>
              <w:t>Rated Power [W]</w:t>
            </w:r>
          </w:p>
        </w:tc>
        <w:tc>
          <w:tcPr>
            <w:tcW w:w="2330" w:type="dxa"/>
            <w:vAlign w:val="center"/>
          </w:tcPr>
          <w:p w14:paraId="3A828D05" w14:textId="77777777" w:rsidR="005856DF" w:rsidRPr="00392A02" w:rsidRDefault="005856DF" w:rsidP="00392A02">
            <w:pPr>
              <w:rPr>
                <w:rFonts w:ascii="Calibri" w:hAnsi="Calibri" w:cs="Calibri"/>
                <w:b/>
                <w:bCs/>
                <w:sz w:val="20"/>
                <w:szCs w:val="20"/>
              </w:rPr>
            </w:pPr>
            <w:r w:rsidRPr="00392A02">
              <w:rPr>
                <w:rFonts w:ascii="Calibri" w:hAnsi="Calibri" w:cs="Calibri"/>
                <w:b/>
                <w:bCs/>
                <w:sz w:val="20"/>
                <w:szCs w:val="20"/>
              </w:rPr>
              <w:t>Typical Operation [hours per day]</w:t>
            </w:r>
          </w:p>
        </w:tc>
      </w:tr>
      <w:tr w:rsidR="005856DF" w:rsidRPr="00392A02" w14:paraId="47EC693E" w14:textId="77777777" w:rsidTr="00392A02">
        <w:trPr>
          <w:trHeight w:val="359"/>
        </w:trPr>
        <w:tc>
          <w:tcPr>
            <w:tcW w:w="2335" w:type="dxa"/>
            <w:vAlign w:val="center"/>
          </w:tcPr>
          <w:p w14:paraId="78B6F097"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Reading lamp</w:t>
            </w:r>
          </w:p>
        </w:tc>
        <w:tc>
          <w:tcPr>
            <w:tcW w:w="2324" w:type="dxa"/>
            <w:vAlign w:val="center"/>
          </w:tcPr>
          <w:p w14:paraId="1D38BF74"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Living Room</w:t>
            </w:r>
          </w:p>
        </w:tc>
        <w:tc>
          <w:tcPr>
            <w:tcW w:w="2330" w:type="dxa"/>
            <w:vAlign w:val="center"/>
          </w:tcPr>
          <w:p w14:paraId="25157C84"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60 W</w:t>
            </w:r>
          </w:p>
        </w:tc>
        <w:tc>
          <w:tcPr>
            <w:tcW w:w="2330" w:type="dxa"/>
            <w:vAlign w:val="center"/>
          </w:tcPr>
          <w:p w14:paraId="44569058"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5</w:t>
            </w:r>
          </w:p>
        </w:tc>
      </w:tr>
      <w:tr w:rsidR="005856DF" w:rsidRPr="00392A02" w14:paraId="611AF45E" w14:textId="77777777" w:rsidTr="00392A02">
        <w:trPr>
          <w:cnfStyle w:val="000000010000" w:firstRow="0" w:lastRow="0" w:firstColumn="0" w:lastColumn="0" w:oddVBand="0" w:evenVBand="0" w:oddHBand="0" w:evenHBand="1" w:firstRowFirstColumn="0" w:firstRowLastColumn="0" w:lastRowFirstColumn="0" w:lastRowLastColumn="0"/>
          <w:trHeight w:val="339"/>
        </w:trPr>
        <w:tc>
          <w:tcPr>
            <w:tcW w:w="2335" w:type="dxa"/>
            <w:vAlign w:val="center"/>
          </w:tcPr>
          <w:p w14:paraId="538E513B"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Coffee maker</w:t>
            </w:r>
          </w:p>
        </w:tc>
        <w:tc>
          <w:tcPr>
            <w:tcW w:w="2324" w:type="dxa"/>
            <w:vAlign w:val="center"/>
          </w:tcPr>
          <w:p w14:paraId="15CF18E1"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Kitchen</w:t>
            </w:r>
          </w:p>
        </w:tc>
        <w:tc>
          <w:tcPr>
            <w:tcW w:w="2330" w:type="dxa"/>
            <w:vAlign w:val="center"/>
          </w:tcPr>
          <w:p w14:paraId="44FA3E6A"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800 W</w:t>
            </w:r>
          </w:p>
        </w:tc>
        <w:tc>
          <w:tcPr>
            <w:tcW w:w="2330" w:type="dxa"/>
            <w:vAlign w:val="center"/>
          </w:tcPr>
          <w:p w14:paraId="4F3937B5"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0.3</w:t>
            </w:r>
          </w:p>
        </w:tc>
      </w:tr>
      <w:tr w:rsidR="005856DF" w:rsidRPr="00392A02" w14:paraId="0D0D3D02" w14:textId="77777777" w:rsidTr="00392A02">
        <w:trPr>
          <w:trHeight w:val="359"/>
        </w:trPr>
        <w:tc>
          <w:tcPr>
            <w:tcW w:w="2335" w:type="dxa"/>
            <w:vAlign w:val="center"/>
          </w:tcPr>
          <w:p w14:paraId="621D9D47"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w:t>
            </w:r>
          </w:p>
        </w:tc>
        <w:tc>
          <w:tcPr>
            <w:tcW w:w="2324" w:type="dxa"/>
            <w:vAlign w:val="center"/>
          </w:tcPr>
          <w:p w14:paraId="2527928C" w14:textId="77777777" w:rsidR="005856DF" w:rsidRPr="00392A02" w:rsidRDefault="005856DF" w:rsidP="00392A02">
            <w:pPr>
              <w:jc w:val="center"/>
              <w:rPr>
                <w:rFonts w:ascii="Calibri" w:hAnsi="Calibri" w:cs="Calibri"/>
                <w:sz w:val="20"/>
                <w:szCs w:val="20"/>
              </w:rPr>
            </w:pPr>
          </w:p>
        </w:tc>
        <w:tc>
          <w:tcPr>
            <w:tcW w:w="2330" w:type="dxa"/>
            <w:vAlign w:val="center"/>
          </w:tcPr>
          <w:p w14:paraId="7A2DD1F5" w14:textId="77777777" w:rsidR="005856DF" w:rsidRPr="00392A02" w:rsidRDefault="005856DF" w:rsidP="00392A02">
            <w:pPr>
              <w:jc w:val="center"/>
              <w:rPr>
                <w:rFonts w:ascii="Calibri" w:hAnsi="Calibri" w:cs="Calibri"/>
                <w:sz w:val="20"/>
                <w:szCs w:val="20"/>
              </w:rPr>
            </w:pPr>
          </w:p>
        </w:tc>
        <w:tc>
          <w:tcPr>
            <w:tcW w:w="2330" w:type="dxa"/>
            <w:vAlign w:val="center"/>
          </w:tcPr>
          <w:p w14:paraId="4ADCA0AF" w14:textId="77777777" w:rsidR="005856DF" w:rsidRPr="00392A02" w:rsidRDefault="005856DF" w:rsidP="00392A02">
            <w:pPr>
              <w:jc w:val="center"/>
              <w:rPr>
                <w:rFonts w:ascii="Calibri" w:hAnsi="Calibri" w:cs="Calibri"/>
                <w:sz w:val="20"/>
                <w:szCs w:val="20"/>
              </w:rPr>
            </w:pPr>
          </w:p>
        </w:tc>
      </w:tr>
      <w:tr w:rsidR="005856DF" w:rsidRPr="00392A02" w14:paraId="3383DA2A" w14:textId="77777777" w:rsidTr="00392A02">
        <w:trPr>
          <w:cnfStyle w:val="000000010000" w:firstRow="0" w:lastRow="0" w:firstColumn="0" w:lastColumn="0" w:oddVBand="0" w:evenVBand="0" w:oddHBand="0" w:evenHBand="1" w:firstRowFirstColumn="0" w:firstRowLastColumn="0" w:lastRowFirstColumn="0" w:lastRowLastColumn="0"/>
          <w:trHeight w:val="359"/>
        </w:trPr>
        <w:tc>
          <w:tcPr>
            <w:tcW w:w="2335" w:type="dxa"/>
            <w:vAlign w:val="center"/>
          </w:tcPr>
          <w:p w14:paraId="4FEA2AA0"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w:t>
            </w:r>
          </w:p>
        </w:tc>
        <w:tc>
          <w:tcPr>
            <w:tcW w:w="2324" w:type="dxa"/>
            <w:vAlign w:val="center"/>
          </w:tcPr>
          <w:p w14:paraId="65721F1A" w14:textId="77777777" w:rsidR="005856DF" w:rsidRPr="00392A02" w:rsidRDefault="005856DF" w:rsidP="00392A02">
            <w:pPr>
              <w:jc w:val="center"/>
              <w:rPr>
                <w:rFonts w:ascii="Calibri" w:hAnsi="Calibri" w:cs="Calibri"/>
                <w:sz w:val="20"/>
                <w:szCs w:val="20"/>
              </w:rPr>
            </w:pPr>
          </w:p>
        </w:tc>
        <w:tc>
          <w:tcPr>
            <w:tcW w:w="2330" w:type="dxa"/>
            <w:vAlign w:val="center"/>
          </w:tcPr>
          <w:p w14:paraId="6620269F" w14:textId="77777777" w:rsidR="005856DF" w:rsidRPr="00392A02" w:rsidRDefault="005856DF" w:rsidP="00392A02">
            <w:pPr>
              <w:jc w:val="center"/>
              <w:rPr>
                <w:rFonts w:ascii="Calibri" w:hAnsi="Calibri" w:cs="Calibri"/>
                <w:sz w:val="20"/>
                <w:szCs w:val="20"/>
              </w:rPr>
            </w:pPr>
          </w:p>
        </w:tc>
        <w:tc>
          <w:tcPr>
            <w:tcW w:w="2330" w:type="dxa"/>
            <w:vAlign w:val="center"/>
          </w:tcPr>
          <w:p w14:paraId="7A769D77" w14:textId="77777777" w:rsidR="005856DF" w:rsidRPr="00392A02" w:rsidRDefault="005856DF" w:rsidP="00392A02">
            <w:pPr>
              <w:jc w:val="center"/>
              <w:rPr>
                <w:rFonts w:ascii="Calibri" w:hAnsi="Calibri" w:cs="Calibri"/>
                <w:sz w:val="20"/>
                <w:szCs w:val="20"/>
              </w:rPr>
            </w:pPr>
          </w:p>
        </w:tc>
      </w:tr>
      <w:tr w:rsidR="005856DF" w:rsidRPr="00392A02" w14:paraId="32B92ED7" w14:textId="77777777" w:rsidTr="00392A02">
        <w:trPr>
          <w:trHeight w:val="339"/>
        </w:trPr>
        <w:tc>
          <w:tcPr>
            <w:tcW w:w="2335" w:type="dxa"/>
            <w:vAlign w:val="center"/>
          </w:tcPr>
          <w:p w14:paraId="64554184" w14:textId="77777777" w:rsidR="005856DF" w:rsidRPr="00392A02" w:rsidRDefault="005856DF" w:rsidP="00392A02">
            <w:pPr>
              <w:jc w:val="center"/>
              <w:rPr>
                <w:rFonts w:ascii="Calibri" w:hAnsi="Calibri" w:cs="Calibri"/>
                <w:sz w:val="20"/>
                <w:szCs w:val="20"/>
              </w:rPr>
            </w:pPr>
            <w:r w:rsidRPr="00392A02">
              <w:rPr>
                <w:rFonts w:ascii="Calibri" w:hAnsi="Calibri" w:cs="Calibri"/>
                <w:sz w:val="20"/>
                <w:szCs w:val="20"/>
              </w:rPr>
              <w:t>Total</w:t>
            </w:r>
          </w:p>
        </w:tc>
        <w:tc>
          <w:tcPr>
            <w:tcW w:w="2324" w:type="dxa"/>
            <w:vAlign w:val="center"/>
          </w:tcPr>
          <w:p w14:paraId="35BF5100" w14:textId="77777777" w:rsidR="005856DF" w:rsidRPr="00392A02" w:rsidRDefault="005856DF" w:rsidP="00392A02">
            <w:pPr>
              <w:jc w:val="center"/>
              <w:rPr>
                <w:rFonts w:ascii="Calibri" w:hAnsi="Calibri" w:cs="Calibri"/>
                <w:sz w:val="20"/>
                <w:szCs w:val="20"/>
              </w:rPr>
            </w:pPr>
          </w:p>
        </w:tc>
        <w:tc>
          <w:tcPr>
            <w:tcW w:w="2330" w:type="dxa"/>
            <w:vAlign w:val="center"/>
          </w:tcPr>
          <w:p w14:paraId="079343FF" w14:textId="77777777" w:rsidR="005856DF" w:rsidRPr="00392A02" w:rsidRDefault="005856DF" w:rsidP="00392A02">
            <w:pPr>
              <w:jc w:val="center"/>
              <w:rPr>
                <w:rFonts w:ascii="Calibri" w:hAnsi="Calibri" w:cs="Calibri"/>
                <w:sz w:val="20"/>
                <w:szCs w:val="20"/>
              </w:rPr>
            </w:pPr>
          </w:p>
        </w:tc>
        <w:tc>
          <w:tcPr>
            <w:tcW w:w="2330" w:type="dxa"/>
            <w:vAlign w:val="center"/>
          </w:tcPr>
          <w:p w14:paraId="37A43CB1" w14:textId="77777777" w:rsidR="005856DF" w:rsidRPr="00392A02" w:rsidRDefault="005856DF" w:rsidP="00392A02">
            <w:pPr>
              <w:jc w:val="center"/>
              <w:rPr>
                <w:rFonts w:ascii="Calibri" w:hAnsi="Calibri" w:cs="Calibri"/>
                <w:sz w:val="20"/>
                <w:szCs w:val="20"/>
              </w:rPr>
            </w:pPr>
          </w:p>
        </w:tc>
      </w:tr>
    </w:tbl>
    <w:p w14:paraId="0391AD35" w14:textId="73351434" w:rsidR="005856DF" w:rsidRPr="0070467F" w:rsidRDefault="005856DF" w:rsidP="005856DF">
      <w:pPr>
        <w:pStyle w:val="BodyText"/>
      </w:pPr>
      <w:r w:rsidRPr="00272692">
        <w:t>You can use this approach to understand how and where you may want to save energy. In this example</w:t>
      </w:r>
      <w:r w:rsidR="004C3207">
        <w:t>,</w:t>
      </w:r>
      <w:r w:rsidRPr="00272692">
        <w:t xml:space="preserve"> if your coffee maker has a small parasitic load, you could install a smart plug to shut the coffee maker off at 11</w:t>
      </w:r>
      <w:r w:rsidR="00E84C2C">
        <w:t xml:space="preserve"> </w:t>
      </w:r>
      <w:r w:rsidRPr="00272692">
        <w:t>am automatically each day. In the same exam</w:t>
      </w:r>
      <w:r w:rsidRPr="00F41E9B">
        <w:t>ple</w:t>
      </w:r>
      <w:r w:rsidR="009C1CBE">
        <w:t>,</w:t>
      </w:r>
      <w:r w:rsidRPr="00F41E9B">
        <w:t xml:space="preserve"> you could install a more efficient lighting product in the reading lamp, </w:t>
      </w:r>
      <w:r w:rsidR="00C167D0">
        <w:t>such as</w:t>
      </w:r>
      <w:r w:rsidRPr="00F41E9B">
        <w:t xml:space="preserve"> an LED</w:t>
      </w:r>
      <w:r w:rsidR="00C167D0">
        <w:t>.</w:t>
      </w:r>
    </w:p>
    <w:p w14:paraId="58AA4288" w14:textId="1F7E9D95" w:rsidR="000A0897" w:rsidRDefault="000A0897" w:rsidP="00A24659">
      <w:pPr>
        <w:pStyle w:val="reference"/>
      </w:pPr>
    </w:p>
    <w:p w14:paraId="16C74EA6" w14:textId="77777777" w:rsidR="003478F1" w:rsidRDefault="003478F1" w:rsidP="00F06A04">
      <w:pPr>
        <w:pStyle w:val="BodyText"/>
        <w:sectPr w:rsidR="003478F1" w:rsidSect="00BC3AAA">
          <w:footerReference w:type="default" r:id="rId19"/>
          <w:footnotePr>
            <w:numRestart w:val="eachPage"/>
          </w:footnotePr>
          <w:pgSz w:w="12240" w:h="15840" w:code="1"/>
          <w:pgMar w:top="1440" w:right="1440" w:bottom="1440" w:left="1440" w:header="720" w:footer="720" w:gutter="0"/>
          <w:pgNumType w:chapSep="period"/>
          <w:cols w:space="720"/>
        </w:sectPr>
      </w:pPr>
    </w:p>
    <w:p w14:paraId="50058A45" w14:textId="77777777" w:rsidR="00512532" w:rsidRPr="0026210F" w:rsidRDefault="00512532" w:rsidP="00AB43A1">
      <w:pPr>
        <w:pStyle w:val="BodyText"/>
        <w:rPr>
          <w:noProof/>
        </w:rPr>
      </w:pPr>
      <w:bookmarkStart w:id="2" w:name="_Toc126469337"/>
      <w:bookmarkStart w:id="3" w:name="_Toc195079668"/>
      <w:bookmarkEnd w:id="2"/>
      <w:bookmarkEnd w:id="3"/>
    </w:p>
    <w:sectPr w:rsidR="00512532" w:rsidRPr="0026210F" w:rsidSect="00655AA9">
      <w:footerReference w:type="default" r:id="rId20"/>
      <w:footnotePr>
        <w:numRestart w:val="eachPage"/>
      </w:footnotePr>
      <w:type w:val="continuous"/>
      <w:pgSz w:w="12240" w:h="15840" w:code="1"/>
      <w:pgMar w:top="1440" w:right="1440" w:bottom="1440" w:left="1440" w:header="720" w:footer="720" w:gutter="0"/>
      <w:pgNumType w:start="1" w:chapStyle="6"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4776" w14:textId="77777777" w:rsidR="001F23F7" w:rsidRDefault="001F23F7">
      <w:r>
        <w:separator/>
      </w:r>
    </w:p>
    <w:p w14:paraId="08B5646B" w14:textId="77777777" w:rsidR="001F23F7" w:rsidRDefault="001F23F7"/>
  </w:endnote>
  <w:endnote w:type="continuationSeparator" w:id="0">
    <w:p w14:paraId="1766E459" w14:textId="77777777" w:rsidR="001F23F7" w:rsidRDefault="001F23F7" w:rsidP="00E12AF4">
      <w:r>
        <w:continuationSeparator/>
      </w:r>
    </w:p>
    <w:p w14:paraId="6152F722" w14:textId="77777777" w:rsidR="001F23F7" w:rsidRDefault="001F23F7"/>
    <w:p w14:paraId="46DFB429" w14:textId="77777777" w:rsidR="001F23F7" w:rsidRDefault="001F2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848630"/>
      <w:placeholder>
        <w:docPart w:val="9DBEFF36D3DB40DA877C5E6C13C3049B"/>
      </w:placeholder>
      <w:docPartList>
        <w:docPartGallery w:val="Custom 5"/>
        <w:docPartCategory w:val="PNNL_Footer"/>
      </w:docPartList>
    </w:sdtPr>
    <w:sdtEndPr>
      <w:rPr>
        <w:sz w:val="2"/>
      </w:rPr>
    </w:sdtEndPr>
    <w:sdtContent>
      <w:p w14:paraId="5D6FABF0" w14:textId="36F085F9" w:rsidR="00310A51" w:rsidRPr="004A517F" w:rsidRDefault="00310A51" w:rsidP="008534B1">
        <w:pPr>
          <w:pStyle w:val="Footer"/>
          <w:tabs>
            <w:tab w:val="clear" w:pos="10080"/>
            <w:tab w:val="right" w:pos="13680"/>
          </w:tabs>
          <w:jc w:val="left"/>
        </w:pPr>
        <w:r w:rsidRPr="004A517F">
          <w:rPr>
            <w:rStyle w:val="HeaderChar"/>
          </w:rPr>
          <w:fldChar w:fldCharType="begin"/>
        </w:r>
        <w:r w:rsidRPr="004A517F">
          <w:rPr>
            <w:rStyle w:val="HeaderChar"/>
          </w:rPr>
          <w:instrText xml:space="preserve"> STYLEREF  "Heading 1"  \* MERGEFORMAT </w:instrText>
        </w:r>
        <w:r w:rsidRPr="004A517F">
          <w:rPr>
            <w:rStyle w:val="HeaderChar"/>
          </w:rPr>
          <w:fldChar w:fldCharType="separate"/>
        </w:r>
        <w:r w:rsidR="00C167D0">
          <w:rPr>
            <w:rStyle w:val="HeaderChar"/>
            <w:noProof/>
          </w:rPr>
          <w:t>Proficiency Level 3. Apply</w:t>
        </w:r>
        <w:r w:rsidRPr="004A517F">
          <w:rPr>
            <w:rStyle w:val="HeaderChar"/>
          </w:rPr>
          <w:fldChar w:fldCharType="end"/>
        </w:r>
        <w:r>
          <w:rPr>
            <w:rStyle w:val="HeaderChar"/>
          </w:rPr>
          <w:tab/>
        </w:r>
        <w:r w:rsidRPr="00F40C86">
          <w:rPr>
            <w:rStyle w:val="PageNumber"/>
          </w:rPr>
          <w:fldChar w:fldCharType="begin"/>
        </w:r>
        <w:r w:rsidRPr="00F40C86">
          <w:rPr>
            <w:rStyle w:val="PageNumber"/>
          </w:rPr>
          <w:instrText xml:space="preserve"> PAGE </w:instrText>
        </w:r>
        <w:r w:rsidRPr="00F40C86">
          <w:rPr>
            <w:rStyle w:val="PageNumber"/>
          </w:rPr>
          <w:fldChar w:fldCharType="separate"/>
        </w:r>
        <w:r w:rsidR="00C41D3B">
          <w:rPr>
            <w:rStyle w:val="PageNumber"/>
          </w:rPr>
          <w:t>4</w:t>
        </w:r>
        <w:r w:rsidRPr="00F40C86">
          <w:rPr>
            <w:rStyle w:val="PageNumber"/>
          </w:rPr>
          <w:fldChar w:fldCharType="end"/>
        </w:r>
      </w:p>
      <w:p w14:paraId="20240FB8" w14:textId="77777777" w:rsidR="00310A51" w:rsidRPr="00DA5276" w:rsidRDefault="00000000" w:rsidP="00DA5276">
        <w:pPr>
          <w:pStyle w:val="Footer"/>
          <w:rPr>
            <w:sz w:val="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675A" w14:textId="77777777" w:rsidR="006148BE" w:rsidRPr="005560E0" w:rsidRDefault="006148BE" w:rsidP="00556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FF5B" w14:textId="77777777" w:rsidR="001F23F7" w:rsidRDefault="001F23F7">
      <w:r>
        <w:separator/>
      </w:r>
    </w:p>
  </w:footnote>
  <w:footnote w:type="continuationSeparator" w:id="0">
    <w:p w14:paraId="5716F506" w14:textId="77777777" w:rsidR="001F23F7" w:rsidRDefault="001F23F7">
      <w:r>
        <w:continuationSeparator/>
      </w:r>
    </w:p>
  </w:footnote>
  <w:footnote w:type="continuationNotice" w:id="1">
    <w:p w14:paraId="177F597C" w14:textId="77777777" w:rsidR="001F23F7" w:rsidRDefault="001F23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049C96"/>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8334BC8"/>
    <w:multiLevelType w:val="hybridMultilevel"/>
    <w:tmpl w:val="F78A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76686"/>
    <w:multiLevelType w:val="hybridMultilevel"/>
    <w:tmpl w:val="38B85E5E"/>
    <w:lvl w:ilvl="0" w:tplc="12909B40">
      <w:start w:val="1"/>
      <w:numFmt w:val="bullet"/>
      <w:pStyle w:val="ListBullet"/>
      <w:lvlText w:val=""/>
      <w:lvlJc w:val="left"/>
      <w:pPr>
        <w:tabs>
          <w:tab w:val="num" w:pos="216"/>
        </w:tabs>
        <w:ind w:left="216" w:hanging="216"/>
      </w:pPr>
      <w:rPr>
        <w:rFonts w:ascii="Symbol" w:hAnsi="Symbol" w:hint="default"/>
      </w:rPr>
    </w:lvl>
    <w:lvl w:ilvl="1" w:tplc="F788BA18">
      <w:start w:val="1"/>
      <w:numFmt w:val="bullet"/>
      <w:lvlText w:val="–"/>
      <w:lvlJc w:val="left"/>
      <w:pPr>
        <w:tabs>
          <w:tab w:val="num" w:pos="576"/>
        </w:tabs>
        <w:ind w:left="576" w:hanging="360"/>
      </w:pPr>
      <w:rPr>
        <w:rFonts w:ascii="Arial" w:hAnsi="Arial" w:hint="default"/>
        <w:color w:val="auto"/>
        <w:u w:color="FFC000"/>
      </w:rPr>
    </w:lvl>
    <w:lvl w:ilvl="2" w:tplc="334A17DA">
      <w:start w:val="1"/>
      <w:numFmt w:val="bullet"/>
      <w:lvlText w:val="o"/>
      <w:lvlJc w:val="left"/>
      <w:pPr>
        <w:tabs>
          <w:tab w:val="num" w:pos="936"/>
        </w:tabs>
        <w:ind w:left="936" w:hanging="360"/>
      </w:pPr>
      <w:rPr>
        <w:rFonts w:ascii="Courier New" w:hAnsi="Courier New" w:hint="default"/>
      </w:rPr>
    </w:lvl>
    <w:lvl w:ilvl="3" w:tplc="78A6ED68">
      <w:start w:val="1"/>
      <w:numFmt w:val="bullet"/>
      <w:lvlText w:val=""/>
      <w:lvlJc w:val="left"/>
      <w:pPr>
        <w:tabs>
          <w:tab w:val="num" w:pos="1296"/>
        </w:tabs>
        <w:ind w:left="1296" w:hanging="360"/>
      </w:pPr>
      <w:rPr>
        <w:rFonts w:ascii="Wingdings" w:hAnsi="Wingdings"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 w15:restartNumberingAfterBreak="0">
    <w:nsid w:val="11883587"/>
    <w:multiLevelType w:val="hybridMultilevel"/>
    <w:tmpl w:val="8A4A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65070"/>
    <w:multiLevelType w:val="hybridMultilevel"/>
    <w:tmpl w:val="5FE89F18"/>
    <w:lvl w:ilvl="0" w:tplc="F3CC58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664AB9"/>
    <w:multiLevelType w:val="hybridMultilevel"/>
    <w:tmpl w:val="B784E790"/>
    <w:lvl w:ilvl="0" w:tplc="1AD246F8">
      <w:numFmt w:val="bullet"/>
      <w:lvlText w:val="□"/>
      <w:lvlJc w:val="left"/>
      <w:pPr>
        <w:ind w:left="324" w:hanging="324"/>
      </w:pPr>
      <w:rPr>
        <w:rFonts w:ascii="Courier New" w:eastAsia="Courier New" w:hAnsi="Courier New" w:cs="Courier New" w:hint="default"/>
        <w:w w:val="100"/>
        <w:sz w:val="22"/>
        <w:szCs w:val="22"/>
        <w:lang w:val="en-US" w:eastAsia="en-US" w:bidi="en-US"/>
      </w:rPr>
    </w:lvl>
    <w:lvl w:ilvl="1" w:tplc="0D92E130">
      <w:numFmt w:val="bullet"/>
      <w:lvlText w:val="•"/>
      <w:lvlJc w:val="left"/>
      <w:pPr>
        <w:ind w:left="1085" w:hanging="324"/>
      </w:pPr>
      <w:rPr>
        <w:rFonts w:hint="default"/>
        <w:lang w:val="en-US" w:eastAsia="en-US" w:bidi="en-US"/>
      </w:rPr>
    </w:lvl>
    <w:lvl w:ilvl="2" w:tplc="9DC41274">
      <w:numFmt w:val="bullet"/>
      <w:lvlText w:val="•"/>
      <w:lvlJc w:val="left"/>
      <w:pPr>
        <w:ind w:left="1846" w:hanging="324"/>
      </w:pPr>
      <w:rPr>
        <w:rFonts w:hint="default"/>
        <w:lang w:val="en-US" w:eastAsia="en-US" w:bidi="en-US"/>
      </w:rPr>
    </w:lvl>
    <w:lvl w:ilvl="3" w:tplc="2A5A1F9C">
      <w:numFmt w:val="bullet"/>
      <w:lvlText w:val="•"/>
      <w:lvlJc w:val="left"/>
      <w:pPr>
        <w:ind w:left="2607" w:hanging="324"/>
      </w:pPr>
      <w:rPr>
        <w:rFonts w:hint="default"/>
        <w:lang w:val="en-US" w:eastAsia="en-US" w:bidi="en-US"/>
      </w:rPr>
    </w:lvl>
    <w:lvl w:ilvl="4" w:tplc="E878CC62">
      <w:numFmt w:val="bullet"/>
      <w:lvlText w:val="•"/>
      <w:lvlJc w:val="left"/>
      <w:pPr>
        <w:ind w:left="3368" w:hanging="324"/>
      </w:pPr>
      <w:rPr>
        <w:rFonts w:hint="default"/>
        <w:lang w:val="en-US" w:eastAsia="en-US" w:bidi="en-US"/>
      </w:rPr>
    </w:lvl>
    <w:lvl w:ilvl="5" w:tplc="50C29DA4">
      <w:numFmt w:val="bullet"/>
      <w:lvlText w:val="•"/>
      <w:lvlJc w:val="left"/>
      <w:pPr>
        <w:ind w:left="4130" w:hanging="324"/>
      </w:pPr>
      <w:rPr>
        <w:rFonts w:hint="default"/>
        <w:lang w:val="en-US" w:eastAsia="en-US" w:bidi="en-US"/>
      </w:rPr>
    </w:lvl>
    <w:lvl w:ilvl="6" w:tplc="2FB48370">
      <w:numFmt w:val="bullet"/>
      <w:lvlText w:val="•"/>
      <w:lvlJc w:val="left"/>
      <w:pPr>
        <w:ind w:left="4891" w:hanging="324"/>
      </w:pPr>
      <w:rPr>
        <w:rFonts w:hint="default"/>
        <w:lang w:val="en-US" w:eastAsia="en-US" w:bidi="en-US"/>
      </w:rPr>
    </w:lvl>
    <w:lvl w:ilvl="7" w:tplc="E0A00B60">
      <w:numFmt w:val="bullet"/>
      <w:lvlText w:val="•"/>
      <w:lvlJc w:val="left"/>
      <w:pPr>
        <w:ind w:left="5652" w:hanging="324"/>
      </w:pPr>
      <w:rPr>
        <w:rFonts w:hint="default"/>
        <w:lang w:val="en-US" w:eastAsia="en-US" w:bidi="en-US"/>
      </w:rPr>
    </w:lvl>
    <w:lvl w:ilvl="8" w:tplc="C0E49076">
      <w:numFmt w:val="bullet"/>
      <w:lvlText w:val="•"/>
      <w:lvlJc w:val="left"/>
      <w:pPr>
        <w:ind w:left="6413" w:hanging="324"/>
      </w:pPr>
      <w:rPr>
        <w:rFonts w:hint="default"/>
        <w:lang w:val="en-US" w:eastAsia="en-US" w:bidi="en-US"/>
      </w:rPr>
    </w:lvl>
  </w:abstractNum>
  <w:abstractNum w:abstractNumId="6" w15:restartNumberingAfterBreak="0">
    <w:nsid w:val="204E1A43"/>
    <w:multiLevelType w:val="hybridMultilevel"/>
    <w:tmpl w:val="4FA4B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86FCB"/>
    <w:multiLevelType w:val="hybridMultilevel"/>
    <w:tmpl w:val="958C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570E0"/>
    <w:multiLevelType w:val="hybridMultilevel"/>
    <w:tmpl w:val="40487208"/>
    <w:lvl w:ilvl="0" w:tplc="0BBA3C9E">
      <w:numFmt w:val="bullet"/>
      <w:lvlText w:val="□"/>
      <w:lvlJc w:val="left"/>
      <w:pPr>
        <w:ind w:left="324" w:hanging="324"/>
      </w:pPr>
      <w:rPr>
        <w:rFonts w:ascii="Courier New" w:eastAsia="Courier New" w:hAnsi="Courier New" w:cs="Courier New" w:hint="default"/>
        <w:w w:val="100"/>
        <w:sz w:val="22"/>
        <w:szCs w:val="22"/>
        <w:lang w:val="en-US" w:eastAsia="en-US" w:bidi="en-US"/>
      </w:rPr>
    </w:lvl>
    <w:lvl w:ilvl="1" w:tplc="04E668D2">
      <w:numFmt w:val="bullet"/>
      <w:lvlText w:val="•"/>
      <w:lvlJc w:val="left"/>
      <w:pPr>
        <w:ind w:left="1085" w:hanging="324"/>
      </w:pPr>
      <w:rPr>
        <w:rFonts w:hint="default"/>
        <w:lang w:val="en-US" w:eastAsia="en-US" w:bidi="en-US"/>
      </w:rPr>
    </w:lvl>
    <w:lvl w:ilvl="2" w:tplc="C590E0EE">
      <w:numFmt w:val="bullet"/>
      <w:lvlText w:val="•"/>
      <w:lvlJc w:val="left"/>
      <w:pPr>
        <w:ind w:left="1842" w:hanging="324"/>
      </w:pPr>
      <w:rPr>
        <w:rFonts w:hint="default"/>
        <w:lang w:val="en-US" w:eastAsia="en-US" w:bidi="en-US"/>
      </w:rPr>
    </w:lvl>
    <w:lvl w:ilvl="3" w:tplc="94003B60">
      <w:numFmt w:val="bullet"/>
      <w:lvlText w:val="•"/>
      <w:lvlJc w:val="left"/>
      <w:pPr>
        <w:ind w:left="2599" w:hanging="324"/>
      </w:pPr>
      <w:rPr>
        <w:rFonts w:hint="default"/>
        <w:lang w:val="en-US" w:eastAsia="en-US" w:bidi="en-US"/>
      </w:rPr>
    </w:lvl>
    <w:lvl w:ilvl="4" w:tplc="55D2E934">
      <w:numFmt w:val="bullet"/>
      <w:lvlText w:val="•"/>
      <w:lvlJc w:val="left"/>
      <w:pPr>
        <w:ind w:left="3356" w:hanging="324"/>
      </w:pPr>
      <w:rPr>
        <w:rFonts w:hint="default"/>
        <w:lang w:val="en-US" w:eastAsia="en-US" w:bidi="en-US"/>
      </w:rPr>
    </w:lvl>
    <w:lvl w:ilvl="5" w:tplc="1166F18A">
      <w:numFmt w:val="bullet"/>
      <w:lvlText w:val="•"/>
      <w:lvlJc w:val="left"/>
      <w:pPr>
        <w:ind w:left="4114" w:hanging="324"/>
      </w:pPr>
      <w:rPr>
        <w:rFonts w:hint="default"/>
        <w:lang w:val="en-US" w:eastAsia="en-US" w:bidi="en-US"/>
      </w:rPr>
    </w:lvl>
    <w:lvl w:ilvl="6" w:tplc="DFF66798">
      <w:numFmt w:val="bullet"/>
      <w:lvlText w:val="•"/>
      <w:lvlJc w:val="left"/>
      <w:pPr>
        <w:ind w:left="4871" w:hanging="324"/>
      </w:pPr>
      <w:rPr>
        <w:rFonts w:hint="default"/>
        <w:lang w:val="en-US" w:eastAsia="en-US" w:bidi="en-US"/>
      </w:rPr>
    </w:lvl>
    <w:lvl w:ilvl="7" w:tplc="D2523C70">
      <w:numFmt w:val="bullet"/>
      <w:lvlText w:val="•"/>
      <w:lvlJc w:val="left"/>
      <w:pPr>
        <w:ind w:left="5628" w:hanging="324"/>
      </w:pPr>
      <w:rPr>
        <w:rFonts w:hint="default"/>
        <w:lang w:val="en-US" w:eastAsia="en-US" w:bidi="en-US"/>
      </w:rPr>
    </w:lvl>
    <w:lvl w:ilvl="8" w:tplc="29449DD2">
      <w:numFmt w:val="bullet"/>
      <w:lvlText w:val="•"/>
      <w:lvlJc w:val="left"/>
      <w:pPr>
        <w:ind w:left="6385" w:hanging="324"/>
      </w:pPr>
      <w:rPr>
        <w:rFonts w:hint="default"/>
        <w:lang w:val="en-US" w:eastAsia="en-US" w:bidi="en-US"/>
      </w:rPr>
    </w:lvl>
  </w:abstractNum>
  <w:abstractNum w:abstractNumId="9" w15:restartNumberingAfterBreak="0">
    <w:nsid w:val="2A3458DB"/>
    <w:multiLevelType w:val="hybridMultilevel"/>
    <w:tmpl w:val="1C16BE3A"/>
    <w:lvl w:ilvl="0" w:tplc="42E824A0">
      <w:numFmt w:val="bullet"/>
      <w:lvlText w:val="□"/>
      <w:lvlJc w:val="left"/>
      <w:pPr>
        <w:ind w:left="324" w:hanging="324"/>
      </w:pPr>
      <w:rPr>
        <w:rFonts w:ascii="Courier New" w:eastAsia="Courier New" w:hAnsi="Courier New" w:cs="Courier New" w:hint="default"/>
        <w:w w:val="100"/>
        <w:sz w:val="22"/>
        <w:szCs w:val="22"/>
        <w:lang w:val="en-US" w:eastAsia="en-US" w:bidi="en-US"/>
      </w:rPr>
    </w:lvl>
    <w:lvl w:ilvl="1" w:tplc="7A4E9858">
      <w:numFmt w:val="bullet"/>
      <w:lvlText w:val="•"/>
      <w:lvlJc w:val="left"/>
      <w:pPr>
        <w:ind w:left="1085" w:hanging="324"/>
      </w:pPr>
      <w:rPr>
        <w:rFonts w:hint="default"/>
        <w:lang w:val="en-US" w:eastAsia="en-US" w:bidi="en-US"/>
      </w:rPr>
    </w:lvl>
    <w:lvl w:ilvl="2" w:tplc="F3AA431A">
      <w:numFmt w:val="bullet"/>
      <w:lvlText w:val="•"/>
      <w:lvlJc w:val="left"/>
      <w:pPr>
        <w:ind w:left="1842" w:hanging="324"/>
      </w:pPr>
      <w:rPr>
        <w:rFonts w:hint="default"/>
        <w:lang w:val="en-US" w:eastAsia="en-US" w:bidi="en-US"/>
      </w:rPr>
    </w:lvl>
    <w:lvl w:ilvl="3" w:tplc="A3E042BE">
      <w:numFmt w:val="bullet"/>
      <w:lvlText w:val="•"/>
      <w:lvlJc w:val="left"/>
      <w:pPr>
        <w:ind w:left="2599" w:hanging="324"/>
      </w:pPr>
      <w:rPr>
        <w:rFonts w:hint="default"/>
        <w:lang w:val="en-US" w:eastAsia="en-US" w:bidi="en-US"/>
      </w:rPr>
    </w:lvl>
    <w:lvl w:ilvl="4" w:tplc="DA6E27B2">
      <w:numFmt w:val="bullet"/>
      <w:lvlText w:val="•"/>
      <w:lvlJc w:val="left"/>
      <w:pPr>
        <w:ind w:left="3356" w:hanging="324"/>
      </w:pPr>
      <w:rPr>
        <w:rFonts w:hint="default"/>
        <w:lang w:val="en-US" w:eastAsia="en-US" w:bidi="en-US"/>
      </w:rPr>
    </w:lvl>
    <w:lvl w:ilvl="5" w:tplc="3AA404DE">
      <w:numFmt w:val="bullet"/>
      <w:lvlText w:val="•"/>
      <w:lvlJc w:val="left"/>
      <w:pPr>
        <w:ind w:left="4114" w:hanging="324"/>
      </w:pPr>
      <w:rPr>
        <w:rFonts w:hint="default"/>
        <w:lang w:val="en-US" w:eastAsia="en-US" w:bidi="en-US"/>
      </w:rPr>
    </w:lvl>
    <w:lvl w:ilvl="6" w:tplc="1A6AC89C">
      <w:numFmt w:val="bullet"/>
      <w:lvlText w:val="•"/>
      <w:lvlJc w:val="left"/>
      <w:pPr>
        <w:ind w:left="4871" w:hanging="324"/>
      </w:pPr>
      <w:rPr>
        <w:rFonts w:hint="default"/>
        <w:lang w:val="en-US" w:eastAsia="en-US" w:bidi="en-US"/>
      </w:rPr>
    </w:lvl>
    <w:lvl w:ilvl="7" w:tplc="A8A8C6F4">
      <w:numFmt w:val="bullet"/>
      <w:lvlText w:val="•"/>
      <w:lvlJc w:val="left"/>
      <w:pPr>
        <w:ind w:left="5628" w:hanging="324"/>
      </w:pPr>
      <w:rPr>
        <w:rFonts w:hint="default"/>
        <w:lang w:val="en-US" w:eastAsia="en-US" w:bidi="en-US"/>
      </w:rPr>
    </w:lvl>
    <w:lvl w:ilvl="8" w:tplc="F9A6E6AC">
      <w:numFmt w:val="bullet"/>
      <w:lvlText w:val="•"/>
      <w:lvlJc w:val="left"/>
      <w:pPr>
        <w:ind w:left="6385" w:hanging="324"/>
      </w:pPr>
      <w:rPr>
        <w:rFonts w:hint="default"/>
        <w:lang w:val="en-US" w:eastAsia="en-US" w:bidi="en-US"/>
      </w:rPr>
    </w:lvl>
  </w:abstractNum>
  <w:abstractNum w:abstractNumId="10" w15:restartNumberingAfterBreak="0">
    <w:nsid w:val="2BFE6B59"/>
    <w:multiLevelType w:val="multilevel"/>
    <w:tmpl w:val="EBD88498"/>
    <w:lvl w:ilvl="0">
      <w:start w:val="1"/>
      <w:numFmt w:val="decimal"/>
      <w:lvlText w:val="%1.0"/>
      <w:lvlJc w:val="left"/>
      <w:pPr>
        <w:tabs>
          <w:tab w:val="num" w:pos="720"/>
        </w:tabs>
        <w:ind w:left="720" w:hanging="720"/>
      </w:pPr>
      <w:rPr>
        <w:rFonts w:asciiTheme="majorHAnsi" w:hAnsiTheme="majorHAnsi" w:cs="Arial" w:hint="default"/>
        <w:b/>
        <w:i w:val="0"/>
        <w:caps w:val="0"/>
        <w:strike w:val="0"/>
        <w:dstrike w:val="0"/>
        <w:vanish w:val="0"/>
        <w:color w:val="D57500" w:themeColor="text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648" w:hanging="648"/>
      </w:pPr>
      <w:rPr>
        <w:rFonts w:asciiTheme="majorHAnsi" w:hAnsiTheme="majorHAnsi" w:cs="Arial" w:hint="default"/>
        <w:b/>
        <w:i w:val="0"/>
        <w:color w:val="D57500" w:themeColor="text2"/>
        <w:sz w:val="28"/>
      </w:rPr>
    </w:lvl>
    <w:lvl w:ilvl="2">
      <w:start w:val="1"/>
      <w:numFmt w:val="decimal"/>
      <w:lvlText w:val="%1.%2.%3"/>
      <w:lvlJc w:val="left"/>
      <w:pPr>
        <w:tabs>
          <w:tab w:val="num" w:pos="936"/>
        </w:tabs>
        <w:ind w:left="936" w:hanging="936"/>
      </w:pPr>
      <w:rPr>
        <w:rFonts w:asciiTheme="majorHAnsi" w:hAnsiTheme="majorHAnsi" w:cs="Arial" w:hint="default"/>
        <w:b/>
        <w:i w:val="0"/>
        <w:color w:val="D57500" w:themeColor="text2"/>
        <w:sz w:val="24"/>
      </w:rPr>
    </w:lvl>
    <w:lvl w:ilvl="3">
      <w:start w:val="1"/>
      <w:numFmt w:val="decimal"/>
      <w:lvlText w:val="%1.%2.%3.%4"/>
      <w:lvlJc w:val="left"/>
      <w:pPr>
        <w:tabs>
          <w:tab w:val="num" w:pos="1037"/>
        </w:tabs>
        <w:ind w:left="1037" w:hanging="1037"/>
      </w:pPr>
      <w:rPr>
        <w:rFonts w:asciiTheme="majorHAnsi" w:hAnsiTheme="majorHAnsi" w:cs="Arial" w:hint="default"/>
        <w:b/>
        <w:i w:val="0"/>
        <w:color w:val="D57500" w:themeColor="text2"/>
        <w:sz w:val="22"/>
      </w:rPr>
    </w:lvl>
    <w:lvl w:ilvl="4">
      <w:start w:val="1"/>
      <w:numFmt w:val="none"/>
      <w:suff w:val="nothing"/>
      <w:lvlText w:val=""/>
      <w:lvlJc w:val="left"/>
      <w:pPr>
        <w:ind w:left="0" w:firstLine="0"/>
      </w:pPr>
      <w:rPr>
        <w:rFonts w:ascii="Arial" w:hAnsi="Arial" w:cs="Arial" w:hint="default"/>
        <w:b/>
        <w:i w:val="0"/>
        <w:color w:val="auto"/>
        <w:sz w:val="22"/>
      </w:rPr>
    </w:lvl>
    <w:lvl w:ilvl="5">
      <w:start w:val="1"/>
      <w:numFmt w:val="upperLetter"/>
      <w:pStyle w:val="Heading6"/>
      <w:suff w:val="space"/>
      <w:lvlText w:val="Appendix %6"/>
      <w:lvlJc w:val="left"/>
      <w:pPr>
        <w:ind w:left="0" w:firstLine="0"/>
      </w:pPr>
      <w:rPr>
        <w:rFonts w:asciiTheme="majorHAnsi" w:hAnsiTheme="majorHAnsi" w:cs="Arial" w:hint="default"/>
        <w:b/>
        <w:i w:val="0"/>
        <w:color w:val="D57500" w:themeColor="text2"/>
        <w:sz w:val="32"/>
        <w:szCs w:val="32"/>
      </w:rPr>
    </w:lvl>
    <w:lvl w:ilvl="6">
      <w:start w:val="1"/>
      <w:numFmt w:val="decimal"/>
      <w:lvlText w:val="%6.%7"/>
      <w:lvlJc w:val="left"/>
      <w:pPr>
        <w:tabs>
          <w:tab w:val="num" w:pos="648"/>
        </w:tabs>
        <w:ind w:left="648" w:hanging="648"/>
      </w:pPr>
      <w:rPr>
        <w:rFonts w:asciiTheme="majorHAnsi" w:hAnsiTheme="majorHAnsi" w:cs="Arial" w:hint="default"/>
        <w:b/>
        <w:i w:val="0"/>
        <w:color w:val="D57500" w:themeColor="text2"/>
        <w:sz w:val="28"/>
        <w:szCs w:val="28"/>
      </w:rPr>
    </w:lvl>
    <w:lvl w:ilvl="7">
      <w:start w:val="1"/>
      <w:numFmt w:val="decimal"/>
      <w:lvlText w:val="%6.%7.%8"/>
      <w:lvlJc w:val="left"/>
      <w:pPr>
        <w:tabs>
          <w:tab w:val="num" w:pos="936"/>
        </w:tabs>
        <w:ind w:left="936" w:hanging="936"/>
      </w:pPr>
      <w:rPr>
        <w:rFonts w:asciiTheme="majorHAnsi" w:hAnsiTheme="majorHAnsi" w:cs="Arial" w:hint="default"/>
        <w:b/>
        <w:bCs w:val="0"/>
        <w:i w:val="0"/>
        <w:iCs w:val="0"/>
        <w:caps w:val="0"/>
        <w:smallCaps w:val="0"/>
        <w:strike w:val="0"/>
        <w:dstrike w:val="0"/>
        <w:noProof w:val="0"/>
        <w:snapToGrid w:val="0"/>
        <w:vanish w:val="0"/>
        <w:color w:val="D57500" w:themeColor="text2"/>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6.%7.%8.%9"/>
      <w:lvlJc w:val="left"/>
      <w:pPr>
        <w:tabs>
          <w:tab w:val="num" w:pos="1037"/>
        </w:tabs>
        <w:ind w:left="1037" w:hanging="1037"/>
      </w:pPr>
      <w:rPr>
        <w:rFonts w:asciiTheme="majorHAnsi" w:hAnsiTheme="majorHAnsi" w:cs="Arial" w:hint="default"/>
        <w:b/>
        <w:i w:val="0"/>
        <w:color w:val="D57500" w:themeColor="text2"/>
        <w:sz w:val="22"/>
        <w:szCs w:val="22"/>
      </w:rPr>
    </w:lvl>
  </w:abstractNum>
  <w:abstractNum w:abstractNumId="11" w15:restartNumberingAfterBreak="0">
    <w:nsid w:val="303633F9"/>
    <w:multiLevelType w:val="hybridMultilevel"/>
    <w:tmpl w:val="394689C2"/>
    <w:lvl w:ilvl="0" w:tplc="5ABEA1DC">
      <w:numFmt w:val="bullet"/>
      <w:lvlText w:val="□"/>
      <w:lvlJc w:val="left"/>
      <w:pPr>
        <w:ind w:left="324" w:hanging="324"/>
      </w:pPr>
      <w:rPr>
        <w:rFonts w:ascii="Courier New" w:eastAsia="Courier New" w:hAnsi="Courier New" w:cs="Courier New" w:hint="default"/>
        <w:w w:val="100"/>
        <w:sz w:val="22"/>
        <w:szCs w:val="22"/>
        <w:lang w:val="en-US" w:eastAsia="en-US" w:bidi="en-US"/>
      </w:rPr>
    </w:lvl>
    <w:lvl w:ilvl="1" w:tplc="0AFCAD70">
      <w:numFmt w:val="bullet"/>
      <w:lvlText w:val="•"/>
      <w:lvlJc w:val="left"/>
      <w:pPr>
        <w:ind w:left="1085" w:hanging="324"/>
      </w:pPr>
      <w:rPr>
        <w:rFonts w:hint="default"/>
        <w:lang w:val="en-US" w:eastAsia="en-US" w:bidi="en-US"/>
      </w:rPr>
    </w:lvl>
    <w:lvl w:ilvl="2" w:tplc="3C74818C">
      <w:numFmt w:val="bullet"/>
      <w:lvlText w:val="•"/>
      <w:lvlJc w:val="left"/>
      <w:pPr>
        <w:ind w:left="1842" w:hanging="324"/>
      </w:pPr>
      <w:rPr>
        <w:rFonts w:hint="default"/>
        <w:lang w:val="en-US" w:eastAsia="en-US" w:bidi="en-US"/>
      </w:rPr>
    </w:lvl>
    <w:lvl w:ilvl="3" w:tplc="47CCDE42">
      <w:numFmt w:val="bullet"/>
      <w:lvlText w:val="•"/>
      <w:lvlJc w:val="left"/>
      <w:pPr>
        <w:ind w:left="2599" w:hanging="324"/>
      </w:pPr>
      <w:rPr>
        <w:rFonts w:hint="default"/>
        <w:lang w:val="en-US" w:eastAsia="en-US" w:bidi="en-US"/>
      </w:rPr>
    </w:lvl>
    <w:lvl w:ilvl="4" w:tplc="2A0A4016">
      <w:numFmt w:val="bullet"/>
      <w:lvlText w:val="•"/>
      <w:lvlJc w:val="left"/>
      <w:pPr>
        <w:ind w:left="3356" w:hanging="324"/>
      </w:pPr>
      <w:rPr>
        <w:rFonts w:hint="default"/>
        <w:lang w:val="en-US" w:eastAsia="en-US" w:bidi="en-US"/>
      </w:rPr>
    </w:lvl>
    <w:lvl w:ilvl="5" w:tplc="137E2C12">
      <w:numFmt w:val="bullet"/>
      <w:lvlText w:val="•"/>
      <w:lvlJc w:val="left"/>
      <w:pPr>
        <w:ind w:left="4114" w:hanging="324"/>
      </w:pPr>
      <w:rPr>
        <w:rFonts w:hint="default"/>
        <w:lang w:val="en-US" w:eastAsia="en-US" w:bidi="en-US"/>
      </w:rPr>
    </w:lvl>
    <w:lvl w:ilvl="6" w:tplc="FDA40C3E">
      <w:numFmt w:val="bullet"/>
      <w:lvlText w:val="•"/>
      <w:lvlJc w:val="left"/>
      <w:pPr>
        <w:ind w:left="4871" w:hanging="324"/>
      </w:pPr>
      <w:rPr>
        <w:rFonts w:hint="default"/>
        <w:lang w:val="en-US" w:eastAsia="en-US" w:bidi="en-US"/>
      </w:rPr>
    </w:lvl>
    <w:lvl w:ilvl="7" w:tplc="2C42507E">
      <w:numFmt w:val="bullet"/>
      <w:lvlText w:val="•"/>
      <w:lvlJc w:val="left"/>
      <w:pPr>
        <w:ind w:left="5628" w:hanging="324"/>
      </w:pPr>
      <w:rPr>
        <w:rFonts w:hint="default"/>
        <w:lang w:val="en-US" w:eastAsia="en-US" w:bidi="en-US"/>
      </w:rPr>
    </w:lvl>
    <w:lvl w:ilvl="8" w:tplc="4C966AE6">
      <w:numFmt w:val="bullet"/>
      <w:lvlText w:val="•"/>
      <w:lvlJc w:val="left"/>
      <w:pPr>
        <w:ind w:left="6385" w:hanging="324"/>
      </w:pPr>
      <w:rPr>
        <w:rFonts w:hint="default"/>
        <w:lang w:val="en-US" w:eastAsia="en-US" w:bidi="en-US"/>
      </w:rPr>
    </w:lvl>
  </w:abstractNum>
  <w:abstractNum w:abstractNumId="12" w15:restartNumberingAfterBreak="0">
    <w:nsid w:val="305D25F7"/>
    <w:multiLevelType w:val="multilevel"/>
    <w:tmpl w:val="68E8E47A"/>
    <w:lvl w:ilvl="0">
      <w:start w:val="1"/>
      <w:numFmt w:val="decimal"/>
      <w:pStyle w:val="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0B24C07"/>
    <w:multiLevelType w:val="hybridMultilevel"/>
    <w:tmpl w:val="EC9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E02CB"/>
    <w:multiLevelType w:val="hybridMultilevel"/>
    <w:tmpl w:val="0354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500E0"/>
    <w:multiLevelType w:val="multilevel"/>
    <w:tmpl w:val="4F7A4F66"/>
    <w:lvl w:ilvl="0">
      <w:start w:val="1"/>
      <w:numFmt w:val="lowerLetter"/>
      <w:pStyle w:val="ListLetter"/>
      <w:lvlText w:val="%1."/>
      <w:lvlJc w:val="left"/>
      <w:pPr>
        <w:tabs>
          <w:tab w:val="num" w:pos="792"/>
        </w:tabs>
        <w:ind w:left="720" w:hanging="288"/>
      </w:pPr>
      <w:rPr>
        <w:rFonts w:hint="default"/>
      </w:rPr>
    </w:lvl>
    <w:lvl w:ilvl="1">
      <w:start w:val="1"/>
      <w:numFmt w:val="decimal"/>
      <w:lvlText w:val="%1.%2"/>
      <w:lvlJc w:val="left"/>
      <w:pPr>
        <w:tabs>
          <w:tab w:val="num" w:pos="648"/>
        </w:tabs>
        <w:ind w:left="648" w:hanging="648"/>
      </w:pPr>
      <w:rPr>
        <w:rFonts w:ascii="Times New Roman" w:hAnsi="Times New Roman" w:hint="default"/>
        <w:b/>
        <w:i w:val="0"/>
        <w:sz w:val="28"/>
      </w:rPr>
    </w:lvl>
    <w:lvl w:ilvl="2">
      <w:start w:val="1"/>
      <w:numFmt w:val="decimal"/>
      <w:lvlText w:val="%1.%2.%3"/>
      <w:lvlJc w:val="left"/>
      <w:pPr>
        <w:tabs>
          <w:tab w:val="num" w:pos="734"/>
        </w:tabs>
        <w:ind w:left="734" w:hanging="734"/>
      </w:pPr>
      <w:rPr>
        <w:rFonts w:ascii="Times New Roman" w:hAnsi="Times New Roman" w:hint="default"/>
        <w:b/>
        <w:i w:val="0"/>
        <w:sz w:val="24"/>
      </w:rPr>
    </w:lvl>
    <w:lvl w:ilvl="3">
      <w:start w:val="1"/>
      <w:numFmt w:val="decimal"/>
      <w:lvlText w:val="%1.%2.%3.%4"/>
      <w:lvlJc w:val="left"/>
      <w:pPr>
        <w:tabs>
          <w:tab w:val="num" w:pos="1210"/>
        </w:tabs>
        <w:ind w:left="1210" w:hanging="850"/>
      </w:pPr>
      <w:rPr>
        <w:rFonts w:ascii="Times New Roman" w:hAnsi="Times New Roman" w:hint="default"/>
        <w:b/>
        <w:i w:val="0"/>
        <w:sz w:val="22"/>
      </w:rPr>
    </w:lvl>
    <w:lvl w:ilvl="4">
      <w:start w:val="1"/>
      <w:numFmt w:val="decimal"/>
      <w:lvlText w:val="%1.%2.%3.%4.%5"/>
      <w:lvlJc w:val="left"/>
      <w:pPr>
        <w:tabs>
          <w:tab w:val="num" w:pos="1382"/>
        </w:tabs>
        <w:ind w:left="1382" w:hanging="1022"/>
      </w:pPr>
      <w:rPr>
        <w:rFonts w:ascii="Times New Roman" w:hAnsi="Times New Roman" w:hint="default"/>
        <w:b/>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B4C089A"/>
    <w:multiLevelType w:val="hybridMultilevel"/>
    <w:tmpl w:val="9A3C8EEE"/>
    <w:lvl w:ilvl="0" w:tplc="0409000F">
      <w:start w:val="1"/>
      <w:numFmt w:val="decimal"/>
      <w:pStyle w:val="ListParagraph"/>
      <w:lvlText w:val="%1."/>
      <w:lvlJc w:val="left"/>
      <w:pPr>
        <w:ind w:left="720" w:hanging="360"/>
      </w:pPr>
      <w:rPr>
        <w:rFonts w:hint="default"/>
      </w:rPr>
    </w:lvl>
    <w:lvl w:ilvl="1" w:tplc="F788BA18">
      <w:start w:val="1"/>
      <w:numFmt w:val="bullet"/>
      <w:lvlText w:val="–"/>
      <w:lvlJc w:val="left"/>
      <w:pPr>
        <w:ind w:left="1440" w:hanging="360"/>
      </w:pPr>
      <w:rPr>
        <w:rFonts w:ascii="Arial" w:hAnsi="Arial" w:hint="default"/>
        <w:color w:val="auto"/>
        <w:u w:color="FFC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B24AD"/>
    <w:multiLevelType w:val="hybridMultilevel"/>
    <w:tmpl w:val="80D016E6"/>
    <w:lvl w:ilvl="0" w:tplc="A664E5E8">
      <w:start w:val="1"/>
      <w:numFmt w:val="bullet"/>
      <w:pStyle w:val="ListBullet3"/>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C0FA3"/>
    <w:multiLevelType w:val="hybridMultilevel"/>
    <w:tmpl w:val="4B9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313FC"/>
    <w:multiLevelType w:val="hybridMultilevel"/>
    <w:tmpl w:val="9F14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942EC"/>
    <w:multiLevelType w:val="hybridMultilevel"/>
    <w:tmpl w:val="0F34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47577"/>
    <w:multiLevelType w:val="hybridMultilevel"/>
    <w:tmpl w:val="36E8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6D7B"/>
    <w:multiLevelType w:val="hybridMultilevel"/>
    <w:tmpl w:val="024E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07F33"/>
    <w:multiLevelType w:val="hybridMultilevel"/>
    <w:tmpl w:val="440E2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D753C4"/>
    <w:multiLevelType w:val="multilevel"/>
    <w:tmpl w:val="942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7471E6"/>
    <w:multiLevelType w:val="hybridMultilevel"/>
    <w:tmpl w:val="C43AA0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7D58703B"/>
    <w:multiLevelType w:val="multilevel"/>
    <w:tmpl w:val="BAEC96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45806794">
    <w:abstractNumId w:val="10"/>
  </w:num>
  <w:num w:numId="2" w16cid:durableId="1176992793">
    <w:abstractNumId w:val="12"/>
  </w:num>
  <w:num w:numId="3" w16cid:durableId="1292521073">
    <w:abstractNumId w:val="2"/>
  </w:num>
  <w:num w:numId="4" w16cid:durableId="931620690">
    <w:abstractNumId w:val="0"/>
  </w:num>
  <w:num w:numId="5" w16cid:durableId="1959723719">
    <w:abstractNumId w:val="17"/>
  </w:num>
  <w:num w:numId="6" w16cid:durableId="446511399">
    <w:abstractNumId w:val="15"/>
  </w:num>
  <w:num w:numId="7" w16cid:durableId="321008945">
    <w:abstractNumId w:val="4"/>
  </w:num>
  <w:num w:numId="8" w16cid:durableId="1438678029">
    <w:abstractNumId w:val="16"/>
  </w:num>
  <w:num w:numId="9" w16cid:durableId="268778300">
    <w:abstractNumId w:val="20"/>
  </w:num>
  <w:num w:numId="10" w16cid:durableId="2090032278">
    <w:abstractNumId w:val="7"/>
  </w:num>
  <w:num w:numId="11" w16cid:durableId="2024472639">
    <w:abstractNumId w:val="8"/>
  </w:num>
  <w:num w:numId="12" w16cid:durableId="1201943098">
    <w:abstractNumId w:val="5"/>
  </w:num>
  <w:num w:numId="13" w16cid:durableId="158885112">
    <w:abstractNumId w:val="11"/>
  </w:num>
  <w:num w:numId="14" w16cid:durableId="287052702">
    <w:abstractNumId w:val="9"/>
  </w:num>
  <w:num w:numId="15" w16cid:durableId="941885801">
    <w:abstractNumId w:val="21"/>
  </w:num>
  <w:num w:numId="16" w16cid:durableId="322784910">
    <w:abstractNumId w:val="14"/>
  </w:num>
  <w:num w:numId="17" w16cid:durableId="1676299222">
    <w:abstractNumId w:val="19"/>
  </w:num>
  <w:num w:numId="18" w16cid:durableId="1797337366">
    <w:abstractNumId w:val="13"/>
  </w:num>
  <w:num w:numId="19" w16cid:durableId="2106344703">
    <w:abstractNumId w:val="18"/>
  </w:num>
  <w:num w:numId="20" w16cid:durableId="815031974">
    <w:abstractNumId w:val="26"/>
  </w:num>
  <w:num w:numId="21" w16cid:durableId="996615143">
    <w:abstractNumId w:val="23"/>
  </w:num>
  <w:num w:numId="22" w16cid:durableId="364448652">
    <w:abstractNumId w:val="6"/>
  </w:num>
  <w:num w:numId="23" w16cid:durableId="536704955">
    <w:abstractNumId w:val="1"/>
  </w:num>
  <w:num w:numId="24" w16cid:durableId="493879848">
    <w:abstractNumId w:val="25"/>
  </w:num>
  <w:num w:numId="25" w16cid:durableId="435028686">
    <w:abstractNumId w:val="22"/>
  </w:num>
  <w:num w:numId="26" w16cid:durableId="344094234">
    <w:abstractNumId w:val="24"/>
  </w:num>
  <w:num w:numId="27" w16cid:durableId="461266110">
    <w:abstractNumId w:val="3"/>
  </w:num>
  <w:num w:numId="28" w16cid:durableId="750086273">
    <w:abstractNumId w:val="4"/>
    <w:lvlOverride w:ilvl="0">
      <w:startOverride w:val="1"/>
    </w:lvlOverride>
  </w:num>
  <w:num w:numId="29" w16cid:durableId="1130703852">
    <w:abstractNumId w:val="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720"/>
  <w:clickAndTypeStyle w:val="BodyText"/>
  <w:characterSpacingControl w:val="doNotCompress"/>
  <w:hdrShapeDefaults>
    <o:shapedefaults v:ext="edit" spidmax="2050">
      <o:colormru v:ext="edit" colors="#d47827"/>
    </o:shapedefaults>
  </w:hdrShapeDefaults>
  <w:footnotePr>
    <w:numRestart w:val="eachPage"/>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1Mje1NDY0MDA0tjBX0lEKTi0uzszPAykwNKsFADcSPZQtAAAA"/>
  </w:docVars>
  <w:rsids>
    <w:rsidRoot w:val="000B2EE8"/>
    <w:rsid w:val="00001ACE"/>
    <w:rsid w:val="00002695"/>
    <w:rsid w:val="00002F16"/>
    <w:rsid w:val="00003D03"/>
    <w:rsid w:val="00004205"/>
    <w:rsid w:val="0000436E"/>
    <w:rsid w:val="000045AB"/>
    <w:rsid w:val="0000537E"/>
    <w:rsid w:val="00005C16"/>
    <w:rsid w:val="000071B8"/>
    <w:rsid w:val="000132F0"/>
    <w:rsid w:val="00013502"/>
    <w:rsid w:val="00013D06"/>
    <w:rsid w:val="00017DCA"/>
    <w:rsid w:val="00020FA8"/>
    <w:rsid w:val="000227D8"/>
    <w:rsid w:val="00022A91"/>
    <w:rsid w:val="00022C41"/>
    <w:rsid w:val="00024C93"/>
    <w:rsid w:val="0002656F"/>
    <w:rsid w:val="000273BB"/>
    <w:rsid w:val="000279E2"/>
    <w:rsid w:val="00030AB0"/>
    <w:rsid w:val="000315FA"/>
    <w:rsid w:val="00032164"/>
    <w:rsid w:val="000335FF"/>
    <w:rsid w:val="00033754"/>
    <w:rsid w:val="00033796"/>
    <w:rsid w:val="00033D54"/>
    <w:rsid w:val="00034896"/>
    <w:rsid w:val="00034DFF"/>
    <w:rsid w:val="00037025"/>
    <w:rsid w:val="00037221"/>
    <w:rsid w:val="00040136"/>
    <w:rsid w:val="000402EC"/>
    <w:rsid w:val="00041769"/>
    <w:rsid w:val="000418E4"/>
    <w:rsid w:val="00041B1E"/>
    <w:rsid w:val="00041BB4"/>
    <w:rsid w:val="000424FF"/>
    <w:rsid w:val="0004291C"/>
    <w:rsid w:val="00044DE4"/>
    <w:rsid w:val="0004563C"/>
    <w:rsid w:val="00045847"/>
    <w:rsid w:val="000470D8"/>
    <w:rsid w:val="00047130"/>
    <w:rsid w:val="00050514"/>
    <w:rsid w:val="000506D4"/>
    <w:rsid w:val="00050769"/>
    <w:rsid w:val="00050E64"/>
    <w:rsid w:val="0005205A"/>
    <w:rsid w:val="0005395C"/>
    <w:rsid w:val="00056632"/>
    <w:rsid w:val="000567C9"/>
    <w:rsid w:val="00060776"/>
    <w:rsid w:val="00061198"/>
    <w:rsid w:val="00061E53"/>
    <w:rsid w:val="00062264"/>
    <w:rsid w:val="00063098"/>
    <w:rsid w:val="000636FE"/>
    <w:rsid w:val="00063761"/>
    <w:rsid w:val="00064797"/>
    <w:rsid w:val="00065369"/>
    <w:rsid w:val="00065379"/>
    <w:rsid w:val="000656A6"/>
    <w:rsid w:val="00065BFF"/>
    <w:rsid w:val="00065DA2"/>
    <w:rsid w:val="00067698"/>
    <w:rsid w:val="00067E4E"/>
    <w:rsid w:val="00071576"/>
    <w:rsid w:val="00072062"/>
    <w:rsid w:val="00072553"/>
    <w:rsid w:val="00072D1C"/>
    <w:rsid w:val="00073F64"/>
    <w:rsid w:val="00073FE7"/>
    <w:rsid w:val="00076D0A"/>
    <w:rsid w:val="000775D9"/>
    <w:rsid w:val="00081040"/>
    <w:rsid w:val="00083726"/>
    <w:rsid w:val="000839B1"/>
    <w:rsid w:val="00086183"/>
    <w:rsid w:val="00087BEC"/>
    <w:rsid w:val="000909B8"/>
    <w:rsid w:val="00090A64"/>
    <w:rsid w:val="000912DE"/>
    <w:rsid w:val="00091446"/>
    <w:rsid w:val="000914BF"/>
    <w:rsid w:val="00091B47"/>
    <w:rsid w:val="00095852"/>
    <w:rsid w:val="00095DEF"/>
    <w:rsid w:val="0009672E"/>
    <w:rsid w:val="00096C78"/>
    <w:rsid w:val="00097898"/>
    <w:rsid w:val="000A0897"/>
    <w:rsid w:val="000A15D5"/>
    <w:rsid w:val="000A2BA8"/>
    <w:rsid w:val="000A2EE6"/>
    <w:rsid w:val="000A3DED"/>
    <w:rsid w:val="000A3F78"/>
    <w:rsid w:val="000A41D1"/>
    <w:rsid w:val="000A5FD7"/>
    <w:rsid w:val="000A6321"/>
    <w:rsid w:val="000A647E"/>
    <w:rsid w:val="000B0532"/>
    <w:rsid w:val="000B18E2"/>
    <w:rsid w:val="000B2117"/>
    <w:rsid w:val="000B232D"/>
    <w:rsid w:val="000B2EE8"/>
    <w:rsid w:val="000B3604"/>
    <w:rsid w:val="000B41FD"/>
    <w:rsid w:val="000B4A17"/>
    <w:rsid w:val="000B5B0C"/>
    <w:rsid w:val="000B5B3A"/>
    <w:rsid w:val="000B7612"/>
    <w:rsid w:val="000C1AAE"/>
    <w:rsid w:val="000C1C47"/>
    <w:rsid w:val="000C4906"/>
    <w:rsid w:val="000C6B9A"/>
    <w:rsid w:val="000D1A01"/>
    <w:rsid w:val="000D1F9E"/>
    <w:rsid w:val="000D3092"/>
    <w:rsid w:val="000D368F"/>
    <w:rsid w:val="000D36F7"/>
    <w:rsid w:val="000D431F"/>
    <w:rsid w:val="000E0FD9"/>
    <w:rsid w:val="000E107A"/>
    <w:rsid w:val="000E1BCC"/>
    <w:rsid w:val="000E268D"/>
    <w:rsid w:val="000E2E38"/>
    <w:rsid w:val="000E42C2"/>
    <w:rsid w:val="000E6C5B"/>
    <w:rsid w:val="000E7E85"/>
    <w:rsid w:val="000E7EB7"/>
    <w:rsid w:val="000F0966"/>
    <w:rsid w:val="000F09C6"/>
    <w:rsid w:val="000F195A"/>
    <w:rsid w:val="000F1D2B"/>
    <w:rsid w:val="000F2096"/>
    <w:rsid w:val="000F395C"/>
    <w:rsid w:val="000F427F"/>
    <w:rsid w:val="000F4879"/>
    <w:rsid w:val="000F5A2D"/>
    <w:rsid w:val="0010023C"/>
    <w:rsid w:val="00100685"/>
    <w:rsid w:val="001009B7"/>
    <w:rsid w:val="00102D3F"/>
    <w:rsid w:val="00103452"/>
    <w:rsid w:val="00104A5B"/>
    <w:rsid w:val="00104FA1"/>
    <w:rsid w:val="00105D47"/>
    <w:rsid w:val="00105D88"/>
    <w:rsid w:val="0010631F"/>
    <w:rsid w:val="0010647C"/>
    <w:rsid w:val="001065D3"/>
    <w:rsid w:val="00106B8F"/>
    <w:rsid w:val="001073C8"/>
    <w:rsid w:val="0010770A"/>
    <w:rsid w:val="00110491"/>
    <w:rsid w:val="0011101A"/>
    <w:rsid w:val="001124C7"/>
    <w:rsid w:val="001137AF"/>
    <w:rsid w:val="00113EA5"/>
    <w:rsid w:val="00113FF1"/>
    <w:rsid w:val="0011743E"/>
    <w:rsid w:val="001177D3"/>
    <w:rsid w:val="001179B4"/>
    <w:rsid w:val="001225D6"/>
    <w:rsid w:val="0012308B"/>
    <w:rsid w:val="00123D83"/>
    <w:rsid w:val="001259E8"/>
    <w:rsid w:val="00126710"/>
    <w:rsid w:val="00127B07"/>
    <w:rsid w:val="0013143E"/>
    <w:rsid w:val="00132E6B"/>
    <w:rsid w:val="001333A8"/>
    <w:rsid w:val="00134E20"/>
    <w:rsid w:val="00135DD2"/>
    <w:rsid w:val="001360A4"/>
    <w:rsid w:val="001426C0"/>
    <w:rsid w:val="0014359F"/>
    <w:rsid w:val="00144066"/>
    <w:rsid w:val="001447E7"/>
    <w:rsid w:val="0014564D"/>
    <w:rsid w:val="0014603A"/>
    <w:rsid w:val="00146897"/>
    <w:rsid w:val="00150EEC"/>
    <w:rsid w:val="00151375"/>
    <w:rsid w:val="00151762"/>
    <w:rsid w:val="001518DD"/>
    <w:rsid w:val="00154E10"/>
    <w:rsid w:val="00155352"/>
    <w:rsid w:val="00157AA3"/>
    <w:rsid w:val="001602EF"/>
    <w:rsid w:val="00160931"/>
    <w:rsid w:val="0016152D"/>
    <w:rsid w:val="001630AA"/>
    <w:rsid w:val="00163A11"/>
    <w:rsid w:val="00166F30"/>
    <w:rsid w:val="00170944"/>
    <w:rsid w:val="00171917"/>
    <w:rsid w:val="00171F9A"/>
    <w:rsid w:val="001728A5"/>
    <w:rsid w:val="001733B8"/>
    <w:rsid w:val="00174A00"/>
    <w:rsid w:val="00175184"/>
    <w:rsid w:val="001757A4"/>
    <w:rsid w:val="00175E11"/>
    <w:rsid w:val="001766DA"/>
    <w:rsid w:val="00176BEE"/>
    <w:rsid w:val="00180B42"/>
    <w:rsid w:val="0018467A"/>
    <w:rsid w:val="00186473"/>
    <w:rsid w:val="00186A55"/>
    <w:rsid w:val="00187223"/>
    <w:rsid w:val="001900B4"/>
    <w:rsid w:val="00191EAD"/>
    <w:rsid w:val="00193FAE"/>
    <w:rsid w:val="00194111"/>
    <w:rsid w:val="00195159"/>
    <w:rsid w:val="001951DA"/>
    <w:rsid w:val="001952BB"/>
    <w:rsid w:val="0019542A"/>
    <w:rsid w:val="00195852"/>
    <w:rsid w:val="001A054A"/>
    <w:rsid w:val="001A1528"/>
    <w:rsid w:val="001A193E"/>
    <w:rsid w:val="001A297E"/>
    <w:rsid w:val="001A2BA6"/>
    <w:rsid w:val="001A2D52"/>
    <w:rsid w:val="001A39CD"/>
    <w:rsid w:val="001A417E"/>
    <w:rsid w:val="001A49DE"/>
    <w:rsid w:val="001A4EF3"/>
    <w:rsid w:val="001A53BD"/>
    <w:rsid w:val="001B38F4"/>
    <w:rsid w:val="001B4DC6"/>
    <w:rsid w:val="001B52E5"/>
    <w:rsid w:val="001B70E7"/>
    <w:rsid w:val="001C125C"/>
    <w:rsid w:val="001C23EF"/>
    <w:rsid w:val="001C2631"/>
    <w:rsid w:val="001C3339"/>
    <w:rsid w:val="001C340B"/>
    <w:rsid w:val="001C3FBF"/>
    <w:rsid w:val="001C5073"/>
    <w:rsid w:val="001D090D"/>
    <w:rsid w:val="001D1A7D"/>
    <w:rsid w:val="001D1D37"/>
    <w:rsid w:val="001D1D74"/>
    <w:rsid w:val="001D1DA6"/>
    <w:rsid w:val="001D2157"/>
    <w:rsid w:val="001D2527"/>
    <w:rsid w:val="001D40C4"/>
    <w:rsid w:val="001D50A1"/>
    <w:rsid w:val="001D59E7"/>
    <w:rsid w:val="001D5C20"/>
    <w:rsid w:val="001D6DFF"/>
    <w:rsid w:val="001D768B"/>
    <w:rsid w:val="001D7C98"/>
    <w:rsid w:val="001E0FE8"/>
    <w:rsid w:val="001E39E7"/>
    <w:rsid w:val="001E3A95"/>
    <w:rsid w:val="001E5641"/>
    <w:rsid w:val="001E673D"/>
    <w:rsid w:val="001F0834"/>
    <w:rsid w:val="001F093A"/>
    <w:rsid w:val="001F1633"/>
    <w:rsid w:val="001F1B13"/>
    <w:rsid w:val="001F1D25"/>
    <w:rsid w:val="001F1DB6"/>
    <w:rsid w:val="001F23F7"/>
    <w:rsid w:val="001F28DA"/>
    <w:rsid w:val="001F4561"/>
    <w:rsid w:val="001F53A1"/>
    <w:rsid w:val="001F69DB"/>
    <w:rsid w:val="001F7071"/>
    <w:rsid w:val="002002C2"/>
    <w:rsid w:val="0020148E"/>
    <w:rsid w:val="00203F71"/>
    <w:rsid w:val="00204565"/>
    <w:rsid w:val="00205783"/>
    <w:rsid w:val="00206013"/>
    <w:rsid w:val="00206AD0"/>
    <w:rsid w:val="00207267"/>
    <w:rsid w:val="00207803"/>
    <w:rsid w:val="002079F9"/>
    <w:rsid w:val="00211E4C"/>
    <w:rsid w:val="0021295C"/>
    <w:rsid w:val="00212A75"/>
    <w:rsid w:val="00213DDD"/>
    <w:rsid w:val="002146A6"/>
    <w:rsid w:val="002146B7"/>
    <w:rsid w:val="00214A79"/>
    <w:rsid w:val="00220FCD"/>
    <w:rsid w:val="00222799"/>
    <w:rsid w:val="0022497D"/>
    <w:rsid w:val="00224A90"/>
    <w:rsid w:val="00225AC7"/>
    <w:rsid w:val="0022648B"/>
    <w:rsid w:val="0022705E"/>
    <w:rsid w:val="00227FD1"/>
    <w:rsid w:val="00230CB7"/>
    <w:rsid w:val="00230F90"/>
    <w:rsid w:val="00233139"/>
    <w:rsid w:val="00233140"/>
    <w:rsid w:val="002348A4"/>
    <w:rsid w:val="00235589"/>
    <w:rsid w:val="00236207"/>
    <w:rsid w:val="002370B3"/>
    <w:rsid w:val="00240059"/>
    <w:rsid w:val="00241436"/>
    <w:rsid w:val="00241680"/>
    <w:rsid w:val="00241FEB"/>
    <w:rsid w:val="00242047"/>
    <w:rsid w:val="00242D07"/>
    <w:rsid w:val="002502FB"/>
    <w:rsid w:val="00250344"/>
    <w:rsid w:val="00250734"/>
    <w:rsid w:val="0025125D"/>
    <w:rsid w:val="00251DF2"/>
    <w:rsid w:val="00253A0F"/>
    <w:rsid w:val="00253FE5"/>
    <w:rsid w:val="002559EE"/>
    <w:rsid w:val="00257D5E"/>
    <w:rsid w:val="002608A6"/>
    <w:rsid w:val="00260AE6"/>
    <w:rsid w:val="00260C9E"/>
    <w:rsid w:val="00260D61"/>
    <w:rsid w:val="0026210F"/>
    <w:rsid w:val="00263F74"/>
    <w:rsid w:val="002649C4"/>
    <w:rsid w:val="00265281"/>
    <w:rsid w:val="00265453"/>
    <w:rsid w:val="00265C75"/>
    <w:rsid w:val="00265F3D"/>
    <w:rsid w:val="00270786"/>
    <w:rsid w:val="00270B1C"/>
    <w:rsid w:val="00270CEA"/>
    <w:rsid w:val="00271069"/>
    <w:rsid w:val="00271867"/>
    <w:rsid w:val="00271FCD"/>
    <w:rsid w:val="00274F0D"/>
    <w:rsid w:val="00275EF8"/>
    <w:rsid w:val="00280BB1"/>
    <w:rsid w:val="0028105A"/>
    <w:rsid w:val="00283397"/>
    <w:rsid w:val="002833E0"/>
    <w:rsid w:val="002859B1"/>
    <w:rsid w:val="002901BD"/>
    <w:rsid w:val="002917DB"/>
    <w:rsid w:val="00292636"/>
    <w:rsid w:val="0029305D"/>
    <w:rsid w:val="002940AE"/>
    <w:rsid w:val="002952F5"/>
    <w:rsid w:val="002A2B6D"/>
    <w:rsid w:val="002A3667"/>
    <w:rsid w:val="002A6337"/>
    <w:rsid w:val="002A762B"/>
    <w:rsid w:val="002A7B2A"/>
    <w:rsid w:val="002B0DF0"/>
    <w:rsid w:val="002B20F9"/>
    <w:rsid w:val="002B4E33"/>
    <w:rsid w:val="002B51AF"/>
    <w:rsid w:val="002B5216"/>
    <w:rsid w:val="002B55B8"/>
    <w:rsid w:val="002B671F"/>
    <w:rsid w:val="002C2CBE"/>
    <w:rsid w:val="002C2D40"/>
    <w:rsid w:val="002C4EB4"/>
    <w:rsid w:val="002C5698"/>
    <w:rsid w:val="002C625F"/>
    <w:rsid w:val="002C7488"/>
    <w:rsid w:val="002C7924"/>
    <w:rsid w:val="002C7D82"/>
    <w:rsid w:val="002C7E08"/>
    <w:rsid w:val="002D0739"/>
    <w:rsid w:val="002D1075"/>
    <w:rsid w:val="002D34F8"/>
    <w:rsid w:val="002E17F7"/>
    <w:rsid w:val="002E1BD5"/>
    <w:rsid w:val="002E2CBE"/>
    <w:rsid w:val="002E39CD"/>
    <w:rsid w:val="002E424E"/>
    <w:rsid w:val="002E6CB6"/>
    <w:rsid w:val="002E6EBB"/>
    <w:rsid w:val="002E7258"/>
    <w:rsid w:val="002F08B9"/>
    <w:rsid w:val="002F12B0"/>
    <w:rsid w:val="002F15CE"/>
    <w:rsid w:val="002F220C"/>
    <w:rsid w:val="002F4CD1"/>
    <w:rsid w:val="002F69CF"/>
    <w:rsid w:val="002F70DD"/>
    <w:rsid w:val="002F72A0"/>
    <w:rsid w:val="002F7DD1"/>
    <w:rsid w:val="003009B3"/>
    <w:rsid w:val="003010B0"/>
    <w:rsid w:val="00303D38"/>
    <w:rsid w:val="00305000"/>
    <w:rsid w:val="0030544E"/>
    <w:rsid w:val="003054F4"/>
    <w:rsid w:val="00305F52"/>
    <w:rsid w:val="00306155"/>
    <w:rsid w:val="0030654F"/>
    <w:rsid w:val="00307919"/>
    <w:rsid w:val="00307A5D"/>
    <w:rsid w:val="00307BF1"/>
    <w:rsid w:val="00310A51"/>
    <w:rsid w:val="00310EAC"/>
    <w:rsid w:val="003147E6"/>
    <w:rsid w:val="003153A4"/>
    <w:rsid w:val="00315D57"/>
    <w:rsid w:val="00315E08"/>
    <w:rsid w:val="00317534"/>
    <w:rsid w:val="00317C7C"/>
    <w:rsid w:val="00322038"/>
    <w:rsid w:val="00322258"/>
    <w:rsid w:val="00323B54"/>
    <w:rsid w:val="003258D4"/>
    <w:rsid w:val="003266DB"/>
    <w:rsid w:val="0032730F"/>
    <w:rsid w:val="003304DA"/>
    <w:rsid w:val="00332A29"/>
    <w:rsid w:val="003336A8"/>
    <w:rsid w:val="00334E8F"/>
    <w:rsid w:val="00336233"/>
    <w:rsid w:val="003363C0"/>
    <w:rsid w:val="00336B83"/>
    <w:rsid w:val="003370CD"/>
    <w:rsid w:val="00337F48"/>
    <w:rsid w:val="00340556"/>
    <w:rsid w:val="003469A7"/>
    <w:rsid w:val="0034731F"/>
    <w:rsid w:val="003478F1"/>
    <w:rsid w:val="00347FCA"/>
    <w:rsid w:val="00352824"/>
    <w:rsid w:val="003531F3"/>
    <w:rsid w:val="003535F3"/>
    <w:rsid w:val="00354D3D"/>
    <w:rsid w:val="00355107"/>
    <w:rsid w:val="0035701C"/>
    <w:rsid w:val="00357C2D"/>
    <w:rsid w:val="00357FDC"/>
    <w:rsid w:val="00360673"/>
    <w:rsid w:val="00360756"/>
    <w:rsid w:val="00361152"/>
    <w:rsid w:val="00362818"/>
    <w:rsid w:val="00362FA8"/>
    <w:rsid w:val="00365827"/>
    <w:rsid w:val="00365AB9"/>
    <w:rsid w:val="00366BFF"/>
    <w:rsid w:val="00367749"/>
    <w:rsid w:val="0037180E"/>
    <w:rsid w:val="0037197B"/>
    <w:rsid w:val="00372A31"/>
    <w:rsid w:val="00372B1A"/>
    <w:rsid w:val="003742F9"/>
    <w:rsid w:val="00375BE7"/>
    <w:rsid w:val="00375CD2"/>
    <w:rsid w:val="00380D2C"/>
    <w:rsid w:val="0038112F"/>
    <w:rsid w:val="00381749"/>
    <w:rsid w:val="00381B86"/>
    <w:rsid w:val="003825D6"/>
    <w:rsid w:val="00382BDA"/>
    <w:rsid w:val="003840CE"/>
    <w:rsid w:val="00385A98"/>
    <w:rsid w:val="003865B5"/>
    <w:rsid w:val="00390DB2"/>
    <w:rsid w:val="00390EBF"/>
    <w:rsid w:val="00391E3F"/>
    <w:rsid w:val="00392A02"/>
    <w:rsid w:val="003934C5"/>
    <w:rsid w:val="003973B8"/>
    <w:rsid w:val="0039799C"/>
    <w:rsid w:val="003A0455"/>
    <w:rsid w:val="003A43C3"/>
    <w:rsid w:val="003A451D"/>
    <w:rsid w:val="003A4CB4"/>
    <w:rsid w:val="003A5E6A"/>
    <w:rsid w:val="003A6BEF"/>
    <w:rsid w:val="003B0C4C"/>
    <w:rsid w:val="003B1D48"/>
    <w:rsid w:val="003B2211"/>
    <w:rsid w:val="003B55A5"/>
    <w:rsid w:val="003B5CBB"/>
    <w:rsid w:val="003B6CC3"/>
    <w:rsid w:val="003B7598"/>
    <w:rsid w:val="003B763A"/>
    <w:rsid w:val="003C0F97"/>
    <w:rsid w:val="003C2052"/>
    <w:rsid w:val="003C22B7"/>
    <w:rsid w:val="003C31B6"/>
    <w:rsid w:val="003C4949"/>
    <w:rsid w:val="003C566B"/>
    <w:rsid w:val="003C767C"/>
    <w:rsid w:val="003C784B"/>
    <w:rsid w:val="003C7D63"/>
    <w:rsid w:val="003C7EDD"/>
    <w:rsid w:val="003D18E3"/>
    <w:rsid w:val="003D19A4"/>
    <w:rsid w:val="003D3537"/>
    <w:rsid w:val="003D4792"/>
    <w:rsid w:val="003D4CB0"/>
    <w:rsid w:val="003D4CB7"/>
    <w:rsid w:val="003D4F48"/>
    <w:rsid w:val="003D5303"/>
    <w:rsid w:val="003D557B"/>
    <w:rsid w:val="003E0822"/>
    <w:rsid w:val="003E0B23"/>
    <w:rsid w:val="003E0B88"/>
    <w:rsid w:val="003E1D34"/>
    <w:rsid w:val="003E342C"/>
    <w:rsid w:val="003E3DB8"/>
    <w:rsid w:val="003E55FF"/>
    <w:rsid w:val="003E5BCA"/>
    <w:rsid w:val="003E5EC7"/>
    <w:rsid w:val="003E5FFA"/>
    <w:rsid w:val="003E6641"/>
    <w:rsid w:val="003E6685"/>
    <w:rsid w:val="003F08D7"/>
    <w:rsid w:val="003F3073"/>
    <w:rsid w:val="003F593E"/>
    <w:rsid w:val="003F5C05"/>
    <w:rsid w:val="003F6284"/>
    <w:rsid w:val="003F7478"/>
    <w:rsid w:val="00401618"/>
    <w:rsid w:val="00401832"/>
    <w:rsid w:val="004019EA"/>
    <w:rsid w:val="0040221E"/>
    <w:rsid w:val="004023E7"/>
    <w:rsid w:val="004034E3"/>
    <w:rsid w:val="00405D1F"/>
    <w:rsid w:val="00407174"/>
    <w:rsid w:val="004078F5"/>
    <w:rsid w:val="004103D4"/>
    <w:rsid w:val="00410DEF"/>
    <w:rsid w:val="00411B69"/>
    <w:rsid w:val="004125A2"/>
    <w:rsid w:val="00412E09"/>
    <w:rsid w:val="00412F25"/>
    <w:rsid w:val="004141CF"/>
    <w:rsid w:val="004152A3"/>
    <w:rsid w:val="004155FB"/>
    <w:rsid w:val="0041581B"/>
    <w:rsid w:val="00417396"/>
    <w:rsid w:val="00421B01"/>
    <w:rsid w:val="004227EB"/>
    <w:rsid w:val="0042282B"/>
    <w:rsid w:val="004228EC"/>
    <w:rsid w:val="00422A2E"/>
    <w:rsid w:val="0042476D"/>
    <w:rsid w:val="0042568A"/>
    <w:rsid w:val="00425D00"/>
    <w:rsid w:val="004274D5"/>
    <w:rsid w:val="004276AC"/>
    <w:rsid w:val="0043095D"/>
    <w:rsid w:val="00431722"/>
    <w:rsid w:val="00431C36"/>
    <w:rsid w:val="00431E16"/>
    <w:rsid w:val="00434337"/>
    <w:rsid w:val="00435BFD"/>
    <w:rsid w:val="00435E27"/>
    <w:rsid w:val="0043777C"/>
    <w:rsid w:val="00437AB6"/>
    <w:rsid w:val="004407CA"/>
    <w:rsid w:val="00440E4A"/>
    <w:rsid w:val="00441DAD"/>
    <w:rsid w:val="00441F15"/>
    <w:rsid w:val="00444552"/>
    <w:rsid w:val="004454B2"/>
    <w:rsid w:val="004457EC"/>
    <w:rsid w:val="00445A76"/>
    <w:rsid w:val="00445CD9"/>
    <w:rsid w:val="00445FF6"/>
    <w:rsid w:val="004469E1"/>
    <w:rsid w:val="00447242"/>
    <w:rsid w:val="004476BC"/>
    <w:rsid w:val="00447937"/>
    <w:rsid w:val="00447BA9"/>
    <w:rsid w:val="004509B0"/>
    <w:rsid w:val="00451760"/>
    <w:rsid w:val="0045284A"/>
    <w:rsid w:val="00453E98"/>
    <w:rsid w:val="00454D5A"/>
    <w:rsid w:val="00454F33"/>
    <w:rsid w:val="00455199"/>
    <w:rsid w:val="00455B66"/>
    <w:rsid w:val="00455BE8"/>
    <w:rsid w:val="00456168"/>
    <w:rsid w:val="00456598"/>
    <w:rsid w:val="0045666A"/>
    <w:rsid w:val="00457335"/>
    <w:rsid w:val="00457448"/>
    <w:rsid w:val="00457478"/>
    <w:rsid w:val="0046068A"/>
    <w:rsid w:val="00460957"/>
    <w:rsid w:val="00460FD8"/>
    <w:rsid w:val="00464C14"/>
    <w:rsid w:val="00466366"/>
    <w:rsid w:val="00467375"/>
    <w:rsid w:val="004673AF"/>
    <w:rsid w:val="00470129"/>
    <w:rsid w:val="004711F0"/>
    <w:rsid w:val="004718F8"/>
    <w:rsid w:val="00471ED6"/>
    <w:rsid w:val="00472F25"/>
    <w:rsid w:val="00473E0C"/>
    <w:rsid w:val="00474984"/>
    <w:rsid w:val="004750A7"/>
    <w:rsid w:val="004760FE"/>
    <w:rsid w:val="00477D87"/>
    <w:rsid w:val="004823D1"/>
    <w:rsid w:val="0048274B"/>
    <w:rsid w:val="00482B31"/>
    <w:rsid w:val="00483152"/>
    <w:rsid w:val="004842B0"/>
    <w:rsid w:val="00484C31"/>
    <w:rsid w:val="0048552E"/>
    <w:rsid w:val="0048597E"/>
    <w:rsid w:val="00491689"/>
    <w:rsid w:val="00492E30"/>
    <w:rsid w:val="00492F4F"/>
    <w:rsid w:val="004935A7"/>
    <w:rsid w:val="004940CC"/>
    <w:rsid w:val="004962C3"/>
    <w:rsid w:val="00496E99"/>
    <w:rsid w:val="004A0517"/>
    <w:rsid w:val="004A08CF"/>
    <w:rsid w:val="004A0A05"/>
    <w:rsid w:val="004A15C4"/>
    <w:rsid w:val="004A1E7C"/>
    <w:rsid w:val="004A2A79"/>
    <w:rsid w:val="004A3098"/>
    <w:rsid w:val="004A32A4"/>
    <w:rsid w:val="004A39FF"/>
    <w:rsid w:val="004A408E"/>
    <w:rsid w:val="004A4BA1"/>
    <w:rsid w:val="004A517F"/>
    <w:rsid w:val="004A5D04"/>
    <w:rsid w:val="004A765E"/>
    <w:rsid w:val="004A774B"/>
    <w:rsid w:val="004A78D1"/>
    <w:rsid w:val="004B02B7"/>
    <w:rsid w:val="004B1EAB"/>
    <w:rsid w:val="004B2658"/>
    <w:rsid w:val="004B384F"/>
    <w:rsid w:val="004B425A"/>
    <w:rsid w:val="004B45EC"/>
    <w:rsid w:val="004B5E98"/>
    <w:rsid w:val="004B6A54"/>
    <w:rsid w:val="004B6CD4"/>
    <w:rsid w:val="004B7B55"/>
    <w:rsid w:val="004B7E9A"/>
    <w:rsid w:val="004C1B93"/>
    <w:rsid w:val="004C286B"/>
    <w:rsid w:val="004C3207"/>
    <w:rsid w:val="004C58CF"/>
    <w:rsid w:val="004C6534"/>
    <w:rsid w:val="004C7CA1"/>
    <w:rsid w:val="004C7E0D"/>
    <w:rsid w:val="004D0E5F"/>
    <w:rsid w:val="004D384A"/>
    <w:rsid w:val="004D41A2"/>
    <w:rsid w:val="004D4950"/>
    <w:rsid w:val="004D569F"/>
    <w:rsid w:val="004D5763"/>
    <w:rsid w:val="004D581D"/>
    <w:rsid w:val="004D5AAC"/>
    <w:rsid w:val="004D79AC"/>
    <w:rsid w:val="004E20A3"/>
    <w:rsid w:val="004E4126"/>
    <w:rsid w:val="004E4710"/>
    <w:rsid w:val="004E4B65"/>
    <w:rsid w:val="004E58CC"/>
    <w:rsid w:val="004E79F6"/>
    <w:rsid w:val="004F011E"/>
    <w:rsid w:val="004F047D"/>
    <w:rsid w:val="004F0783"/>
    <w:rsid w:val="004F0DCC"/>
    <w:rsid w:val="004F1E25"/>
    <w:rsid w:val="004F2E4B"/>
    <w:rsid w:val="004F2F65"/>
    <w:rsid w:val="004F33D2"/>
    <w:rsid w:val="004F4995"/>
    <w:rsid w:val="004F5D8C"/>
    <w:rsid w:val="004F5DA0"/>
    <w:rsid w:val="004F5F00"/>
    <w:rsid w:val="004F6221"/>
    <w:rsid w:val="004F7BA5"/>
    <w:rsid w:val="005013D4"/>
    <w:rsid w:val="0050305C"/>
    <w:rsid w:val="005038E6"/>
    <w:rsid w:val="00504ABA"/>
    <w:rsid w:val="00504EC2"/>
    <w:rsid w:val="00505C32"/>
    <w:rsid w:val="00505D74"/>
    <w:rsid w:val="005065F4"/>
    <w:rsid w:val="00507D4C"/>
    <w:rsid w:val="0051013C"/>
    <w:rsid w:val="00510372"/>
    <w:rsid w:val="005106EC"/>
    <w:rsid w:val="00511A36"/>
    <w:rsid w:val="00512532"/>
    <w:rsid w:val="00513088"/>
    <w:rsid w:val="005130D3"/>
    <w:rsid w:val="0051450A"/>
    <w:rsid w:val="00514FCB"/>
    <w:rsid w:val="00515DED"/>
    <w:rsid w:val="005167F4"/>
    <w:rsid w:val="00516A1F"/>
    <w:rsid w:val="00521B0C"/>
    <w:rsid w:val="00522451"/>
    <w:rsid w:val="00522649"/>
    <w:rsid w:val="00522B98"/>
    <w:rsid w:val="00523511"/>
    <w:rsid w:val="0052351C"/>
    <w:rsid w:val="00523981"/>
    <w:rsid w:val="00524B3B"/>
    <w:rsid w:val="00524E0F"/>
    <w:rsid w:val="0052619E"/>
    <w:rsid w:val="005262B0"/>
    <w:rsid w:val="00526574"/>
    <w:rsid w:val="00526A07"/>
    <w:rsid w:val="00526EF1"/>
    <w:rsid w:val="00527F55"/>
    <w:rsid w:val="00531203"/>
    <w:rsid w:val="0053145B"/>
    <w:rsid w:val="0053164E"/>
    <w:rsid w:val="005325C9"/>
    <w:rsid w:val="00534151"/>
    <w:rsid w:val="00535429"/>
    <w:rsid w:val="00535459"/>
    <w:rsid w:val="00535D40"/>
    <w:rsid w:val="00535D94"/>
    <w:rsid w:val="00536393"/>
    <w:rsid w:val="005363EB"/>
    <w:rsid w:val="005373A6"/>
    <w:rsid w:val="0054016D"/>
    <w:rsid w:val="005409E6"/>
    <w:rsid w:val="005412B3"/>
    <w:rsid w:val="0054137A"/>
    <w:rsid w:val="00541E47"/>
    <w:rsid w:val="00543B73"/>
    <w:rsid w:val="00544437"/>
    <w:rsid w:val="00545394"/>
    <w:rsid w:val="005460FA"/>
    <w:rsid w:val="005468C1"/>
    <w:rsid w:val="00546ADE"/>
    <w:rsid w:val="00546F1C"/>
    <w:rsid w:val="00547066"/>
    <w:rsid w:val="00547310"/>
    <w:rsid w:val="005475F6"/>
    <w:rsid w:val="00550675"/>
    <w:rsid w:val="00551113"/>
    <w:rsid w:val="005511A5"/>
    <w:rsid w:val="00551711"/>
    <w:rsid w:val="00552227"/>
    <w:rsid w:val="00554649"/>
    <w:rsid w:val="005548DE"/>
    <w:rsid w:val="00554CFF"/>
    <w:rsid w:val="0055554C"/>
    <w:rsid w:val="005556F9"/>
    <w:rsid w:val="00555C70"/>
    <w:rsid w:val="00555DDF"/>
    <w:rsid w:val="005560E0"/>
    <w:rsid w:val="005565BE"/>
    <w:rsid w:val="00557402"/>
    <w:rsid w:val="00561635"/>
    <w:rsid w:val="005623E7"/>
    <w:rsid w:val="00562FA3"/>
    <w:rsid w:val="00564062"/>
    <w:rsid w:val="00564B05"/>
    <w:rsid w:val="0056515C"/>
    <w:rsid w:val="0056582C"/>
    <w:rsid w:val="00566424"/>
    <w:rsid w:val="00570BDE"/>
    <w:rsid w:val="005714E2"/>
    <w:rsid w:val="0057363E"/>
    <w:rsid w:val="005740FE"/>
    <w:rsid w:val="00576519"/>
    <w:rsid w:val="0057695B"/>
    <w:rsid w:val="00576E1F"/>
    <w:rsid w:val="00576ECA"/>
    <w:rsid w:val="00576F48"/>
    <w:rsid w:val="005773C4"/>
    <w:rsid w:val="0058069F"/>
    <w:rsid w:val="005822AB"/>
    <w:rsid w:val="005823A9"/>
    <w:rsid w:val="005826CE"/>
    <w:rsid w:val="00582C97"/>
    <w:rsid w:val="005832CE"/>
    <w:rsid w:val="00583832"/>
    <w:rsid w:val="005856DF"/>
    <w:rsid w:val="00585DD4"/>
    <w:rsid w:val="005861FD"/>
    <w:rsid w:val="00586342"/>
    <w:rsid w:val="00586E5F"/>
    <w:rsid w:val="005932B0"/>
    <w:rsid w:val="0059341D"/>
    <w:rsid w:val="00593C66"/>
    <w:rsid w:val="00594F9F"/>
    <w:rsid w:val="00595A5F"/>
    <w:rsid w:val="005974A1"/>
    <w:rsid w:val="00597A8C"/>
    <w:rsid w:val="005A4B0C"/>
    <w:rsid w:val="005A4B38"/>
    <w:rsid w:val="005A517A"/>
    <w:rsid w:val="005A5DAD"/>
    <w:rsid w:val="005A5DEC"/>
    <w:rsid w:val="005A5E12"/>
    <w:rsid w:val="005A6348"/>
    <w:rsid w:val="005A7E2D"/>
    <w:rsid w:val="005B07C0"/>
    <w:rsid w:val="005B3EDA"/>
    <w:rsid w:val="005B4310"/>
    <w:rsid w:val="005B44A8"/>
    <w:rsid w:val="005B48E6"/>
    <w:rsid w:val="005B5509"/>
    <w:rsid w:val="005B7911"/>
    <w:rsid w:val="005C0E40"/>
    <w:rsid w:val="005C1419"/>
    <w:rsid w:val="005C19DC"/>
    <w:rsid w:val="005C1A66"/>
    <w:rsid w:val="005C1B39"/>
    <w:rsid w:val="005C3394"/>
    <w:rsid w:val="005C37D7"/>
    <w:rsid w:val="005C3894"/>
    <w:rsid w:val="005C3A0E"/>
    <w:rsid w:val="005C609B"/>
    <w:rsid w:val="005C7DAE"/>
    <w:rsid w:val="005D0A6F"/>
    <w:rsid w:val="005D1F2D"/>
    <w:rsid w:val="005D2D4E"/>
    <w:rsid w:val="005D5739"/>
    <w:rsid w:val="005D5E47"/>
    <w:rsid w:val="005D6546"/>
    <w:rsid w:val="005D668C"/>
    <w:rsid w:val="005D68D5"/>
    <w:rsid w:val="005D6ED2"/>
    <w:rsid w:val="005D78A3"/>
    <w:rsid w:val="005E1597"/>
    <w:rsid w:val="005E2120"/>
    <w:rsid w:val="005E2DD7"/>
    <w:rsid w:val="005E4530"/>
    <w:rsid w:val="005E6AAC"/>
    <w:rsid w:val="005E6E50"/>
    <w:rsid w:val="005F00DD"/>
    <w:rsid w:val="005F0FD6"/>
    <w:rsid w:val="005F28DC"/>
    <w:rsid w:val="005F4EA7"/>
    <w:rsid w:val="005F5E38"/>
    <w:rsid w:val="005F633F"/>
    <w:rsid w:val="005F6CA9"/>
    <w:rsid w:val="005F7CF0"/>
    <w:rsid w:val="00601729"/>
    <w:rsid w:val="006022C1"/>
    <w:rsid w:val="00602D3A"/>
    <w:rsid w:val="006034D7"/>
    <w:rsid w:val="00604F91"/>
    <w:rsid w:val="00605D07"/>
    <w:rsid w:val="006065C2"/>
    <w:rsid w:val="00606A98"/>
    <w:rsid w:val="00606F69"/>
    <w:rsid w:val="0061036B"/>
    <w:rsid w:val="006133C3"/>
    <w:rsid w:val="006148BE"/>
    <w:rsid w:val="00614FB7"/>
    <w:rsid w:val="0061616D"/>
    <w:rsid w:val="006176F2"/>
    <w:rsid w:val="00617B34"/>
    <w:rsid w:val="00620179"/>
    <w:rsid w:val="00621B37"/>
    <w:rsid w:val="00622835"/>
    <w:rsid w:val="0062425A"/>
    <w:rsid w:val="006246A4"/>
    <w:rsid w:val="00624C57"/>
    <w:rsid w:val="00626387"/>
    <w:rsid w:val="00631986"/>
    <w:rsid w:val="00631B42"/>
    <w:rsid w:val="00632523"/>
    <w:rsid w:val="00633CB0"/>
    <w:rsid w:val="00633EB8"/>
    <w:rsid w:val="00635D1F"/>
    <w:rsid w:val="00635E21"/>
    <w:rsid w:val="00635EC1"/>
    <w:rsid w:val="00640F63"/>
    <w:rsid w:val="006431C9"/>
    <w:rsid w:val="00643A9F"/>
    <w:rsid w:val="00644D28"/>
    <w:rsid w:val="00644E05"/>
    <w:rsid w:val="00645475"/>
    <w:rsid w:val="006461E0"/>
    <w:rsid w:val="00647D91"/>
    <w:rsid w:val="006501B3"/>
    <w:rsid w:val="00650F8B"/>
    <w:rsid w:val="0065188A"/>
    <w:rsid w:val="00651EB4"/>
    <w:rsid w:val="0065348C"/>
    <w:rsid w:val="006541CD"/>
    <w:rsid w:val="00654C86"/>
    <w:rsid w:val="0065561F"/>
    <w:rsid w:val="00655AA9"/>
    <w:rsid w:val="00660E41"/>
    <w:rsid w:val="00660E89"/>
    <w:rsid w:val="00661BA3"/>
    <w:rsid w:val="00663125"/>
    <w:rsid w:val="00663492"/>
    <w:rsid w:val="006639E5"/>
    <w:rsid w:val="00663EC5"/>
    <w:rsid w:val="00665659"/>
    <w:rsid w:val="00666E4A"/>
    <w:rsid w:val="00671603"/>
    <w:rsid w:val="00671A58"/>
    <w:rsid w:val="00671D48"/>
    <w:rsid w:val="00672865"/>
    <w:rsid w:val="00672EA0"/>
    <w:rsid w:val="00673C99"/>
    <w:rsid w:val="0067425B"/>
    <w:rsid w:val="00674FAC"/>
    <w:rsid w:val="00675929"/>
    <w:rsid w:val="00677383"/>
    <w:rsid w:val="006777F3"/>
    <w:rsid w:val="006802C5"/>
    <w:rsid w:val="006805BD"/>
    <w:rsid w:val="00683161"/>
    <w:rsid w:val="00683522"/>
    <w:rsid w:val="006839D5"/>
    <w:rsid w:val="00684808"/>
    <w:rsid w:val="006857C2"/>
    <w:rsid w:val="006862B3"/>
    <w:rsid w:val="00686BDF"/>
    <w:rsid w:val="00687BF2"/>
    <w:rsid w:val="0069195F"/>
    <w:rsid w:val="00691E6A"/>
    <w:rsid w:val="0069224F"/>
    <w:rsid w:val="0069312B"/>
    <w:rsid w:val="00693D1C"/>
    <w:rsid w:val="0069450E"/>
    <w:rsid w:val="00694EC1"/>
    <w:rsid w:val="00695D3B"/>
    <w:rsid w:val="006963D6"/>
    <w:rsid w:val="006973BC"/>
    <w:rsid w:val="006A10AE"/>
    <w:rsid w:val="006A13AE"/>
    <w:rsid w:val="006A1A0E"/>
    <w:rsid w:val="006A1EA8"/>
    <w:rsid w:val="006A2A0B"/>
    <w:rsid w:val="006A4EF2"/>
    <w:rsid w:val="006A5060"/>
    <w:rsid w:val="006A72A7"/>
    <w:rsid w:val="006B1662"/>
    <w:rsid w:val="006B17A0"/>
    <w:rsid w:val="006B230F"/>
    <w:rsid w:val="006B5120"/>
    <w:rsid w:val="006B52E3"/>
    <w:rsid w:val="006B5D71"/>
    <w:rsid w:val="006B61F9"/>
    <w:rsid w:val="006B68F4"/>
    <w:rsid w:val="006C2DAE"/>
    <w:rsid w:val="006C3320"/>
    <w:rsid w:val="006C3AF3"/>
    <w:rsid w:val="006C4B93"/>
    <w:rsid w:val="006C527C"/>
    <w:rsid w:val="006C5770"/>
    <w:rsid w:val="006C5CE6"/>
    <w:rsid w:val="006C644C"/>
    <w:rsid w:val="006C653D"/>
    <w:rsid w:val="006C66EF"/>
    <w:rsid w:val="006D09EB"/>
    <w:rsid w:val="006D286E"/>
    <w:rsid w:val="006D3E15"/>
    <w:rsid w:val="006D47CD"/>
    <w:rsid w:val="006D6BD0"/>
    <w:rsid w:val="006D6C4C"/>
    <w:rsid w:val="006E04E1"/>
    <w:rsid w:val="006E0B4E"/>
    <w:rsid w:val="006E0FBF"/>
    <w:rsid w:val="006E19BD"/>
    <w:rsid w:val="006E1F4E"/>
    <w:rsid w:val="006E3F4D"/>
    <w:rsid w:val="006E4B94"/>
    <w:rsid w:val="006E528A"/>
    <w:rsid w:val="006E5AFF"/>
    <w:rsid w:val="006E5B6E"/>
    <w:rsid w:val="006E623D"/>
    <w:rsid w:val="006F029D"/>
    <w:rsid w:val="006F1758"/>
    <w:rsid w:val="006F240A"/>
    <w:rsid w:val="006F52F4"/>
    <w:rsid w:val="006F5710"/>
    <w:rsid w:val="006F70EF"/>
    <w:rsid w:val="006F733B"/>
    <w:rsid w:val="006F7A92"/>
    <w:rsid w:val="007019D5"/>
    <w:rsid w:val="00701DBE"/>
    <w:rsid w:val="00703D86"/>
    <w:rsid w:val="00706316"/>
    <w:rsid w:val="007065D1"/>
    <w:rsid w:val="007071FA"/>
    <w:rsid w:val="0070747F"/>
    <w:rsid w:val="007076D4"/>
    <w:rsid w:val="007077BC"/>
    <w:rsid w:val="00707B5F"/>
    <w:rsid w:val="00707EA3"/>
    <w:rsid w:val="00710049"/>
    <w:rsid w:val="0071095F"/>
    <w:rsid w:val="00710ADD"/>
    <w:rsid w:val="00710E88"/>
    <w:rsid w:val="007112CD"/>
    <w:rsid w:val="00712C2C"/>
    <w:rsid w:val="0071379F"/>
    <w:rsid w:val="0071566A"/>
    <w:rsid w:val="007156AD"/>
    <w:rsid w:val="0071618D"/>
    <w:rsid w:val="00716B58"/>
    <w:rsid w:val="007173FC"/>
    <w:rsid w:val="0072049F"/>
    <w:rsid w:val="00721B5F"/>
    <w:rsid w:val="00722A47"/>
    <w:rsid w:val="00725225"/>
    <w:rsid w:val="007260B5"/>
    <w:rsid w:val="0072765A"/>
    <w:rsid w:val="00727B04"/>
    <w:rsid w:val="0073094F"/>
    <w:rsid w:val="00730F13"/>
    <w:rsid w:val="00733638"/>
    <w:rsid w:val="00735054"/>
    <w:rsid w:val="00735D2B"/>
    <w:rsid w:val="00735F33"/>
    <w:rsid w:val="0073729F"/>
    <w:rsid w:val="00742724"/>
    <w:rsid w:val="0074356C"/>
    <w:rsid w:val="007448FC"/>
    <w:rsid w:val="00745A27"/>
    <w:rsid w:val="00745E15"/>
    <w:rsid w:val="00746733"/>
    <w:rsid w:val="00746C95"/>
    <w:rsid w:val="007473DD"/>
    <w:rsid w:val="00750CEA"/>
    <w:rsid w:val="00751325"/>
    <w:rsid w:val="007547C9"/>
    <w:rsid w:val="00754815"/>
    <w:rsid w:val="0075609B"/>
    <w:rsid w:val="00756BF3"/>
    <w:rsid w:val="007577AC"/>
    <w:rsid w:val="0076091E"/>
    <w:rsid w:val="00760D05"/>
    <w:rsid w:val="00761A46"/>
    <w:rsid w:val="00762241"/>
    <w:rsid w:val="00762544"/>
    <w:rsid w:val="007632EF"/>
    <w:rsid w:val="00763AAF"/>
    <w:rsid w:val="00763F08"/>
    <w:rsid w:val="00765029"/>
    <w:rsid w:val="00767B80"/>
    <w:rsid w:val="007701E2"/>
    <w:rsid w:val="00770681"/>
    <w:rsid w:val="00770EAB"/>
    <w:rsid w:val="0077115A"/>
    <w:rsid w:val="00772BBA"/>
    <w:rsid w:val="007731F0"/>
    <w:rsid w:val="0077323D"/>
    <w:rsid w:val="00774D1D"/>
    <w:rsid w:val="007754DB"/>
    <w:rsid w:val="00776252"/>
    <w:rsid w:val="00780CDA"/>
    <w:rsid w:val="00781946"/>
    <w:rsid w:val="00781C97"/>
    <w:rsid w:val="0078219E"/>
    <w:rsid w:val="007833B4"/>
    <w:rsid w:val="00783A98"/>
    <w:rsid w:val="00785661"/>
    <w:rsid w:val="00786115"/>
    <w:rsid w:val="0078684B"/>
    <w:rsid w:val="00787714"/>
    <w:rsid w:val="0079046D"/>
    <w:rsid w:val="00790B1A"/>
    <w:rsid w:val="00791B6F"/>
    <w:rsid w:val="00793461"/>
    <w:rsid w:val="00794389"/>
    <w:rsid w:val="0079560B"/>
    <w:rsid w:val="00796DFF"/>
    <w:rsid w:val="007A033A"/>
    <w:rsid w:val="007A1821"/>
    <w:rsid w:val="007A2402"/>
    <w:rsid w:val="007A28B2"/>
    <w:rsid w:val="007A301F"/>
    <w:rsid w:val="007A3F27"/>
    <w:rsid w:val="007A4317"/>
    <w:rsid w:val="007A4F80"/>
    <w:rsid w:val="007A61E0"/>
    <w:rsid w:val="007A785B"/>
    <w:rsid w:val="007B0602"/>
    <w:rsid w:val="007B0F35"/>
    <w:rsid w:val="007B1C2E"/>
    <w:rsid w:val="007B2BA1"/>
    <w:rsid w:val="007B34A3"/>
    <w:rsid w:val="007B3DDB"/>
    <w:rsid w:val="007B5845"/>
    <w:rsid w:val="007B642D"/>
    <w:rsid w:val="007C1501"/>
    <w:rsid w:val="007C1D5F"/>
    <w:rsid w:val="007C213A"/>
    <w:rsid w:val="007C3F4F"/>
    <w:rsid w:val="007C4000"/>
    <w:rsid w:val="007C7E3A"/>
    <w:rsid w:val="007D07BF"/>
    <w:rsid w:val="007D0A1B"/>
    <w:rsid w:val="007D2775"/>
    <w:rsid w:val="007D30F1"/>
    <w:rsid w:val="007D34AF"/>
    <w:rsid w:val="007D4149"/>
    <w:rsid w:val="007D41CD"/>
    <w:rsid w:val="007D44FC"/>
    <w:rsid w:val="007D74C1"/>
    <w:rsid w:val="007D77B2"/>
    <w:rsid w:val="007E046E"/>
    <w:rsid w:val="007E05C4"/>
    <w:rsid w:val="007E1B4D"/>
    <w:rsid w:val="007E202C"/>
    <w:rsid w:val="007E3C2B"/>
    <w:rsid w:val="007E62A2"/>
    <w:rsid w:val="007E6A8C"/>
    <w:rsid w:val="007F05F7"/>
    <w:rsid w:val="007F1031"/>
    <w:rsid w:val="007F12A0"/>
    <w:rsid w:val="007F1868"/>
    <w:rsid w:val="007F186C"/>
    <w:rsid w:val="007F19AA"/>
    <w:rsid w:val="007F28C7"/>
    <w:rsid w:val="007F29D0"/>
    <w:rsid w:val="007F2B74"/>
    <w:rsid w:val="007F4DF8"/>
    <w:rsid w:val="007F50D8"/>
    <w:rsid w:val="007F6EFE"/>
    <w:rsid w:val="007F72B5"/>
    <w:rsid w:val="007F78D4"/>
    <w:rsid w:val="007F7ABE"/>
    <w:rsid w:val="00800687"/>
    <w:rsid w:val="00800B1F"/>
    <w:rsid w:val="00800C88"/>
    <w:rsid w:val="00803294"/>
    <w:rsid w:val="008070E4"/>
    <w:rsid w:val="00807E33"/>
    <w:rsid w:val="008100FA"/>
    <w:rsid w:val="008104CC"/>
    <w:rsid w:val="00810B02"/>
    <w:rsid w:val="00811092"/>
    <w:rsid w:val="008114D4"/>
    <w:rsid w:val="0081310B"/>
    <w:rsid w:val="00813593"/>
    <w:rsid w:val="00814052"/>
    <w:rsid w:val="008145CB"/>
    <w:rsid w:val="00814C21"/>
    <w:rsid w:val="00814D67"/>
    <w:rsid w:val="00816A85"/>
    <w:rsid w:val="00817771"/>
    <w:rsid w:val="00821A66"/>
    <w:rsid w:val="0082319D"/>
    <w:rsid w:val="0082363E"/>
    <w:rsid w:val="00823939"/>
    <w:rsid w:val="00824182"/>
    <w:rsid w:val="00824DF5"/>
    <w:rsid w:val="00825CBA"/>
    <w:rsid w:val="008262F2"/>
    <w:rsid w:val="008270C7"/>
    <w:rsid w:val="00832122"/>
    <w:rsid w:val="00832EDD"/>
    <w:rsid w:val="0083340E"/>
    <w:rsid w:val="008351C8"/>
    <w:rsid w:val="00836548"/>
    <w:rsid w:val="008405A0"/>
    <w:rsid w:val="00841DA7"/>
    <w:rsid w:val="00842BCD"/>
    <w:rsid w:val="00842F20"/>
    <w:rsid w:val="0084406E"/>
    <w:rsid w:val="00845877"/>
    <w:rsid w:val="00845936"/>
    <w:rsid w:val="00851AE4"/>
    <w:rsid w:val="0085279B"/>
    <w:rsid w:val="008534B1"/>
    <w:rsid w:val="00853501"/>
    <w:rsid w:val="00853D3C"/>
    <w:rsid w:val="00853D7D"/>
    <w:rsid w:val="00854B50"/>
    <w:rsid w:val="008555C8"/>
    <w:rsid w:val="00857472"/>
    <w:rsid w:val="00857F5D"/>
    <w:rsid w:val="00860DA7"/>
    <w:rsid w:val="00861AB0"/>
    <w:rsid w:val="00863315"/>
    <w:rsid w:val="00863E19"/>
    <w:rsid w:val="008642A0"/>
    <w:rsid w:val="00865431"/>
    <w:rsid w:val="00865628"/>
    <w:rsid w:val="00865BB6"/>
    <w:rsid w:val="0086604D"/>
    <w:rsid w:val="008661D1"/>
    <w:rsid w:val="00870E50"/>
    <w:rsid w:val="0087274F"/>
    <w:rsid w:val="0087276F"/>
    <w:rsid w:val="008727E5"/>
    <w:rsid w:val="00875C3A"/>
    <w:rsid w:val="00876C43"/>
    <w:rsid w:val="0088023C"/>
    <w:rsid w:val="008819D5"/>
    <w:rsid w:val="00882EDF"/>
    <w:rsid w:val="00882EFE"/>
    <w:rsid w:val="0088516F"/>
    <w:rsid w:val="00887E92"/>
    <w:rsid w:val="008900CC"/>
    <w:rsid w:val="00894BE8"/>
    <w:rsid w:val="008952E3"/>
    <w:rsid w:val="0089576A"/>
    <w:rsid w:val="00897D30"/>
    <w:rsid w:val="00897E08"/>
    <w:rsid w:val="008A0E3B"/>
    <w:rsid w:val="008A387B"/>
    <w:rsid w:val="008A3ADE"/>
    <w:rsid w:val="008A447F"/>
    <w:rsid w:val="008A53B9"/>
    <w:rsid w:val="008A5B97"/>
    <w:rsid w:val="008B0438"/>
    <w:rsid w:val="008B0692"/>
    <w:rsid w:val="008B0A31"/>
    <w:rsid w:val="008B0A6B"/>
    <w:rsid w:val="008B5022"/>
    <w:rsid w:val="008B5CB8"/>
    <w:rsid w:val="008B5D2B"/>
    <w:rsid w:val="008B607C"/>
    <w:rsid w:val="008B61EE"/>
    <w:rsid w:val="008B72C2"/>
    <w:rsid w:val="008B7715"/>
    <w:rsid w:val="008B7B01"/>
    <w:rsid w:val="008C1F3A"/>
    <w:rsid w:val="008C2FB6"/>
    <w:rsid w:val="008C3257"/>
    <w:rsid w:val="008C37F0"/>
    <w:rsid w:val="008C45EA"/>
    <w:rsid w:val="008C559B"/>
    <w:rsid w:val="008C5727"/>
    <w:rsid w:val="008C57FC"/>
    <w:rsid w:val="008C62CF"/>
    <w:rsid w:val="008C753E"/>
    <w:rsid w:val="008C7C5E"/>
    <w:rsid w:val="008D006B"/>
    <w:rsid w:val="008D0570"/>
    <w:rsid w:val="008D1147"/>
    <w:rsid w:val="008D1B0F"/>
    <w:rsid w:val="008D2B28"/>
    <w:rsid w:val="008D2EA0"/>
    <w:rsid w:val="008D3AB1"/>
    <w:rsid w:val="008D3FCE"/>
    <w:rsid w:val="008D44B4"/>
    <w:rsid w:val="008D58DF"/>
    <w:rsid w:val="008D698E"/>
    <w:rsid w:val="008E06C8"/>
    <w:rsid w:val="008E0B9A"/>
    <w:rsid w:val="008E13D1"/>
    <w:rsid w:val="008E24EE"/>
    <w:rsid w:val="008E2E69"/>
    <w:rsid w:val="008E4475"/>
    <w:rsid w:val="008E44FD"/>
    <w:rsid w:val="008E4996"/>
    <w:rsid w:val="008E4B0F"/>
    <w:rsid w:val="008E4E9A"/>
    <w:rsid w:val="008E50AF"/>
    <w:rsid w:val="008E53FA"/>
    <w:rsid w:val="008E5696"/>
    <w:rsid w:val="008E5FB9"/>
    <w:rsid w:val="008E6A1C"/>
    <w:rsid w:val="008E742D"/>
    <w:rsid w:val="008E79E1"/>
    <w:rsid w:val="008E7BFF"/>
    <w:rsid w:val="008E7C72"/>
    <w:rsid w:val="008F01BC"/>
    <w:rsid w:val="008F06DB"/>
    <w:rsid w:val="008F0796"/>
    <w:rsid w:val="008F0F67"/>
    <w:rsid w:val="008F1813"/>
    <w:rsid w:val="008F24AE"/>
    <w:rsid w:val="008F25B0"/>
    <w:rsid w:val="008F38BB"/>
    <w:rsid w:val="008F3DED"/>
    <w:rsid w:val="008F4077"/>
    <w:rsid w:val="008F5AB3"/>
    <w:rsid w:val="008F6818"/>
    <w:rsid w:val="008F7061"/>
    <w:rsid w:val="00903EED"/>
    <w:rsid w:val="0090556A"/>
    <w:rsid w:val="00905E86"/>
    <w:rsid w:val="009110A4"/>
    <w:rsid w:val="009122DF"/>
    <w:rsid w:val="00912CE5"/>
    <w:rsid w:val="00912D51"/>
    <w:rsid w:val="00913545"/>
    <w:rsid w:val="0091416E"/>
    <w:rsid w:val="0091430F"/>
    <w:rsid w:val="00914C5B"/>
    <w:rsid w:val="00915B07"/>
    <w:rsid w:val="00916660"/>
    <w:rsid w:val="00917C22"/>
    <w:rsid w:val="00917ECC"/>
    <w:rsid w:val="00920344"/>
    <w:rsid w:val="00921C2C"/>
    <w:rsid w:val="009240CD"/>
    <w:rsid w:val="00924718"/>
    <w:rsid w:val="00926698"/>
    <w:rsid w:val="0092782A"/>
    <w:rsid w:val="00927C02"/>
    <w:rsid w:val="009301B9"/>
    <w:rsid w:val="009319E9"/>
    <w:rsid w:val="00931AFF"/>
    <w:rsid w:val="0093222E"/>
    <w:rsid w:val="00932476"/>
    <w:rsid w:val="00933014"/>
    <w:rsid w:val="009332E2"/>
    <w:rsid w:val="009345E3"/>
    <w:rsid w:val="00934CA8"/>
    <w:rsid w:val="009350C1"/>
    <w:rsid w:val="00937AF6"/>
    <w:rsid w:val="009407A4"/>
    <w:rsid w:val="00940CDA"/>
    <w:rsid w:val="00942F9D"/>
    <w:rsid w:val="00943208"/>
    <w:rsid w:val="00944632"/>
    <w:rsid w:val="009452EB"/>
    <w:rsid w:val="009460DE"/>
    <w:rsid w:val="00946A87"/>
    <w:rsid w:val="00946D0B"/>
    <w:rsid w:val="0095124C"/>
    <w:rsid w:val="00951430"/>
    <w:rsid w:val="00951E44"/>
    <w:rsid w:val="00953A04"/>
    <w:rsid w:val="00953A7A"/>
    <w:rsid w:val="00954F17"/>
    <w:rsid w:val="00955922"/>
    <w:rsid w:val="00957A72"/>
    <w:rsid w:val="00957E7A"/>
    <w:rsid w:val="00961530"/>
    <w:rsid w:val="00962770"/>
    <w:rsid w:val="00962932"/>
    <w:rsid w:val="00962959"/>
    <w:rsid w:val="00962BE2"/>
    <w:rsid w:val="00964252"/>
    <w:rsid w:val="00964BFE"/>
    <w:rsid w:val="0096637E"/>
    <w:rsid w:val="009678F1"/>
    <w:rsid w:val="009679B3"/>
    <w:rsid w:val="009705BA"/>
    <w:rsid w:val="00970CA0"/>
    <w:rsid w:val="00970D75"/>
    <w:rsid w:val="00970F31"/>
    <w:rsid w:val="009712C6"/>
    <w:rsid w:val="00971541"/>
    <w:rsid w:val="00971FA9"/>
    <w:rsid w:val="0097224B"/>
    <w:rsid w:val="00972609"/>
    <w:rsid w:val="00973672"/>
    <w:rsid w:val="0097370B"/>
    <w:rsid w:val="009768D1"/>
    <w:rsid w:val="00976CFE"/>
    <w:rsid w:val="00977C8B"/>
    <w:rsid w:val="00977DE4"/>
    <w:rsid w:val="009838B0"/>
    <w:rsid w:val="00984146"/>
    <w:rsid w:val="0098421B"/>
    <w:rsid w:val="00984C97"/>
    <w:rsid w:val="00984EE2"/>
    <w:rsid w:val="009863CC"/>
    <w:rsid w:val="00987FA4"/>
    <w:rsid w:val="0099050C"/>
    <w:rsid w:val="009914F7"/>
    <w:rsid w:val="00992C33"/>
    <w:rsid w:val="00992EA8"/>
    <w:rsid w:val="0099324E"/>
    <w:rsid w:val="00993F62"/>
    <w:rsid w:val="00994DC0"/>
    <w:rsid w:val="009970C1"/>
    <w:rsid w:val="009A1BAA"/>
    <w:rsid w:val="009A51CB"/>
    <w:rsid w:val="009A528C"/>
    <w:rsid w:val="009A5BE2"/>
    <w:rsid w:val="009B115F"/>
    <w:rsid w:val="009B1D5E"/>
    <w:rsid w:val="009B2584"/>
    <w:rsid w:val="009B302B"/>
    <w:rsid w:val="009B3F55"/>
    <w:rsid w:val="009B45C5"/>
    <w:rsid w:val="009B4E0A"/>
    <w:rsid w:val="009B5D7C"/>
    <w:rsid w:val="009C0B17"/>
    <w:rsid w:val="009C1CBE"/>
    <w:rsid w:val="009C2BA2"/>
    <w:rsid w:val="009C2EEF"/>
    <w:rsid w:val="009C3778"/>
    <w:rsid w:val="009C456E"/>
    <w:rsid w:val="009C566F"/>
    <w:rsid w:val="009C57AE"/>
    <w:rsid w:val="009D04DE"/>
    <w:rsid w:val="009D071C"/>
    <w:rsid w:val="009D118C"/>
    <w:rsid w:val="009D13C6"/>
    <w:rsid w:val="009D1747"/>
    <w:rsid w:val="009D21AE"/>
    <w:rsid w:val="009D3347"/>
    <w:rsid w:val="009D49C1"/>
    <w:rsid w:val="009D787F"/>
    <w:rsid w:val="009E0A53"/>
    <w:rsid w:val="009E1F7B"/>
    <w:rsid w:val="009E259F"/>
    <w:rsid w:val="009E2AA1"/>
    <w:rsid w:val="009E2FD3"/>
    <w:rsid w:val="009E366E"/>
    <w:rsid w:val="009E6872"/>
    <w:rsid w:val="009F05B5"/>
    <w:rsid w:val="009F0AC6"/>
    <w:rsid w:val="009F18CD"/>
    <w:rsid w:val="009F2408"/>
    <w:rsid w:val="009F2C8E"/>
    <w:rsid w:val="009F3B61"/>
    <w:rsid w:val="009F4773"/>
    <w:rsid w:val="009F527C"/>
    <w:rsid w:val="009F5668"/>
    <w:rsid w:val="009F5EB7"/>
    <w:rsid w:val="009F6F9D"/>
    <w:rsid w:val="009F756C"/>
    <w:rsid w:val="00A0070F"/>
    <w:rsid w:val="00A01040"/>
    <w:rsid w:val="00A018F9"/>
    <w:rsid w:val="00A01CAA"/>
    <w:rsid w:val="00A02120"/>
    <w:rsid w:val="00A024BB"/>
    <w:rsid w:val="00A02851"/>
    <w:rsid w:val="00A0329E"/>
    <w:rsid w:val="00A06B9F"/>
    <w:rsid w:val="00A07906"/>
    <w:rsid w:val="00A136C2"/>
    <w:rsid w:val="00A142F3"/>
    <w:rsid w:val="00A146D8"/>
    <w:rsid w:val="00A15428"/>
    <w:rsid w:val="00A15810"/>
    <w:rsid w:val="00A17A3F"/>
    <w:rsid w:val="00A17A66"/>
    <w:rsid w:val="00A20189"/>
    <w:rsid w:val="00A21055"/>
    <w:rsid w:val="00A22E9D"/>
    <w:rsid w:val="00A232C4"/>
    <w:rsid w:val="00A2336A"/>
    <w:rsid w:val="00A2360F"/>
    <w:rsid w:val="00A24659"/>
    <w:rsid w:val="00A249C0"/>
    <w:rsid w:val="00A2605B"/>
    <w:rsid w:val="00A2609C"/>
    <w:rsid w:val="00A26BC6"/>
    <w:rsid w:val="00A27BB7"/>
    <w:rsid w:val="00A30447"/>
    <w:rsid w:val="00A3167B"/>
    <w:rsid w:val="00A3230D"/>
    <w:rsid w:val="00A33DD7"/>
    <w:rsid w:val="00A3528F"/>
    <w:rsid w:val="00A3547E"/>
    <w:rsid w:val="00A366B3"/>
    <w:rsid w:val="00A37835"/>
    <w:rsid w:val="00A400FB"/>
    <w:rsid w:val="00A4125A"/>
    <w:rsid w:val="00A427B5"/>
    <w:rsid w:val="00A42EA8"/>
    <w:rsid w:val="00A4315E"/>
    <w:rsid w:val="00A451A8"/>
    <w:rsid w:val="00A45285"/>
    <w:rsid w:val="00A502EB"/>
    <w:rsid w:val="00A51342"/>
    <w:rsid w:val="00A5167F"/>
    <w:rsid w:val="00A51D5B"/>
    <w:rsid w:val="00A51EDD"/>
    <w:rsid w:val="00A526F0"/>
    <w:rsid w:val="00A53A31"/>
    <w:rsid w:val="00A55EBC"/>
    <w:rsid w:val="00A56249"/>
    <w:rsid w:val="00A56E6C"/>
    <w:rsid w:val="00A61661"/>
    <w:rsid w:val="00A64F07"/>
    <w:rsid w:val="00A66B63"/>
    <w:rsid w:val="00A66EA8"/>
    <w:rsid w:val="00A70719"/>
    <w:rsid w:val="00A70A3B"/>
    <w:rsid w:val="00A714AE"/>
    <w:rsid w:val="00A721D7"/>
    <w:rsid w:val="00A72B1E"/>
    <w:rsid w:val="00A73693"/>
    <w:rsid w:val="00A74B40"/>
    <w:rsid w:val="00A74D42"/>
    <w:rsid w:val="00A764F9"/>
    <w:rsid w:val="00A77EF1"/>
    <w:rsid w:val="00A800BF"/>
    <w:rsid w:val="00A823F9"/>
    <w:rsid w:val="00A82810"/>
    <w:rsid w:val="00A83A5B"/>
    <w:rsid w:val="00A85EFA"/>
    <w:rsid w:val="00A8673A"/>
    <w:rsid w:val="00A87944"/>
    <w:rsid w:val="00A87EED"/>
    <w:rsid w:val="00A912BF"/>
    <w:rsid w:val="00A92640"/>
    <w:rsid w:val="00A93AAD"/>
    <w:rsid w:val="00A93F44"/>
    <w:rsid w:val="00A951EE"/>
    <w:rsid w:val="00A9553B"/>
    <w:rsid w:val="00A95B85"/>
    <w:rsid w:val="00A978E5"/>
    <w:rsid w:val="00AA032F"/>
    <w:rsid w:val="00AA0559"/>
    <w:rsid w:val="00AA1716"/>
    <w:rsid w:val="00AA1F8F"/>
    <w:rsid w:val="00AA26B1"/>
    <w:rsid w:val="00AA3763"/>
    <w:rsid w:val="00AA4A8A"/>
    <w:rsid w:val="00AA4FC6"/>
    <w:rsid w:val="00AA54FA"/>
    <w:rsid w:val="00AA643A"/>
    <w:rsid w:val="00AB1AD7"/>
    <w:rsid w:val="00AB2D5F"/>
    <w:rsid w:val="00AB43A1"/>
    <w:rsid w:val="00AB4BB2"/>
    <w:rsid w:val="00AB64F5"/>
    <w:rsid w:val="00AB75A4"/>
    <w:rsid w:val="00AB7F58"/>
    <w:rsid w:val="00AC1176"/>
    <w:rsid w:val="00AC1543"/>
    <w:rsid w:val="00AC2A9E"/>
    <w:rsid w:val="00AC2D08"/>
    <w:rsid w:val="00AC3E3B"/>
    <w:rsid w:val="00AC5CE0"/>
    <w:rsid w:val="00AC759F"/>
    <w:rsid w:val="00AD018C"/>
    <w:rsid w:val="00AD02DD"/>
    <w:rsid w:val="00AD12E6"/>
    <w:rsid w:val="00AD15F5"/>
    <w:rsid w:val="00AD3B7F"/>
    <w:rsid w:val="00AD3C62"/>
    <w:rsid w:val="00AD64DB"/>
    <w:rsid w:val="00AD6C3D"/>
    <w:rsid w:val="00AE0117"/>
    <w:rsid w:val="00AE2E87"/>
    <w:rsid w:val="00AE37D7"/>
    <w:rsid w:val="00AE5CFF"/>
    <w:rsid w:val="00AE61DC"/>
    <w:rsid w:val="00AE6633"/>
    <w:rsid w:val="00AE73AE"/>
    <w:rsid w:val="00AF121A"/>
    <w:rsid w:val="00AF2063"/>
    <w:rsid w:val="00AF344C"/>
    <w:rsid w:val="00AF36AA"/>
    <w:rsid w:val="00AF4E7D"/>
    <w:rsid w:val="00AF53FE"/>
    <w:rsid w:val="00AF5624"/>
    <w:rsid w:val="00AF5EB6"/>
    <w:rsid w:val="00AF5F9D"/>
    <w:rsid w:val="00AF6CFE"/>
    <w:rsid w:val="00AF6EA7"/>
    <w:rsid w:val="00AF74CB"/>
    <w:rsid w:val="00AF7642"/>
    <w:rsid w:val="00AF7823"/>
    <w:rsid w:val="00B00123"/>
    <w:rsid w:val="00B00143"/>
    <w:rsid w:val="00B004D5"/>
    <w:rsid w:val="00B005EF"/>
    <w:rsid w:val="00B01071"/>
    <w:rsid w:val="00B02189"/>
    <w:rsid w:val="00B03C1D"/>
    <w:rsid w:val="00B03CAF"/>
    <w:rsid w:val="00B04595"/>
    <w:rsid w:val="00B04C0A"/>
    <w:rsid w:val="00B04CA8"/>
    <w:rsid w:val="00B06E2A"/>
    <w:rsid w:val="00B07114"/>
    <w:rsid w:val="00B10B60"/>
    <w:rsid w:val="00B11ACC"/>
    <w:rsid w:val="00B13642"/>
    <w:rsid w:val="00B228CE"/>
    <w:rsid w:val="00B239CE"/>
    <w:rsid w:val="00B25562"/>
    <w:rsid w:val="00B27278"/>
    <w:rsid w:val="00B274E7"/>
    <w:rsid w:val="00B30EF5"/>
    <w:rsid w:val="00B31C41"/>
    <w:rsid w:val="00B333E6"/>
    <w:rsid w:val="00B3396C"/>
    <w:rsid w:val="00B3449C"/>
    <w:rsid w:val="00B34A54"/>
    <w:rsid w:val="00B34FFC"/>
    <w:rsid w:val="00B357CE"/>
    <w:rsid w:val="00B3586F"/>
    <w:rsid w:val="00B359B8"/>
    <w:rsid w:val="00B366D8"/>
    <w:rsid w:val="00B36E09"/>
    <w:rsid w:val="00B4112C"/>
    <w:rsid w:val="00B4113D"/>
    <w:rsid w:val="00B41AF2"/>
    <w:rsid w:val="00B420F9"/>
    <w:rsid w:val="00B42446"/>
    <w:rsid w:val="00B429DD"/>
    <w:rsid w:val="00B4330D"/>
    <w:rsid w:val="00B45303"/>
    <w:rsid w:val="00B459FF"/>
    <w:rsid w:val="00B45CDE"/>
    <w:rsid w:val="00B46C96"/>
    <w:rsid w:val="00B46DF5"/>
    <w:rsid w:val="00B471CB"/>
    <w:rsid w:val="00B5066C"/>
    <w:rsid w:val="00B5151F"/>
    <w:rsid w:val="00B53EF2"/>
    <w:rsid w:val="00B546B1"/>
    <w:rsid w:val="00B55C45"/>
    <w:rsid w:val="00B5740F"/>
    <w:rsid w:val="00B57657"/>
    <w:rsid w:val="00B5776E"/>
    <w:rsid w:val="00B627A7"/>
    <w:rsid w:val="00B627FB"/>
    <w:rsid w:val="00B62B04"/>
    <w:rsid w:val="00B63510"/>
    <w:rsid w:val="00B640CB"/>
    <w:rsid w:val="00B67C93"/>
    <w:rsid w:val="00B705F2"/>
    <w:rsid w:val="00B7103B"/>
    <w:rsid w:val="00B71593"/>
    <w:rsid w:val="00B71F36"/>
    <w:rsid w:val="00B7264F"/>
    <w:rsid w:val="00B72B84"/>
    <w:rsid w:val="00B735D8"/>
    <w:rsid w:val="00B755EC"/>
    <w:rsid w:val="00B76B0B"/>
    <w:rsid w:val="00B772B8"/>
    <w:rsid w:val="00B77BF1"/>
    <w:rsid w:val="00B80BCC"/>
    <w:rsid w:val="00B812DB"/>
    <w:rsid w:val="00B8174C"/>
    <w:rsid w:val="00B83D24"/>
    <w:rsid w:val="00B84C3D"/>
    <w:rsid w:val="00B875FB"/>
    <w:rsid w:val="00B876ED"/>
    <w:rsid w:val="00B90488"/>
    <w:rsid w:val="00B905F2"/>
    <w:rsid w:val="00B91EC5"/>
    <w:rsid w:val="00B92CB1"/>
    <w:rsid w:val="00B92CF2"/>
    <w:rsid w:val="00B93E1C"/>
    <w:rsid w:val="00B93E55"/>
    <w:rsid w:val="00B94547"/>
    <w:rsid w:val="00B96251"/>
    <w:rsid w:val="00B96365"/>
    <w:rsid w:val="00B96D10"/>
    <w:rsid w:val="00BA088A"/>
    <w:rsid w:val="00BA2F39"/>
    <w:rsid w:val="00BA349B"/>
    <w:rsid w:val="00BA48E9"/>
    <w:rsid w:val="00BA58F7"/>
    <w:rsid w:val="00BA6635"/>
    <w:rsid w:val="00BB0512"/>
    <w:rsid w:val="00BB0D15"/>
    <w:rsid w:val="00BB22BC"/>
    <w:rsid w:val="00BB25A8"/>
    <w:rsid w:val="00BB2ECF"/>
    <w:rsid w:val="00BB3679"/>
    <w:rsid w:val="00BB5B6D"/>
    <w:rsid w:val="00BB629A"/>
    <w:rsid w:val="00BC0E02"/>
    <w:rsid w:val="00BC1082"/>
    <w:rsid w:val="00BC1800"/>
    <w:rsid w:val="00BC2220"/>
    <w:rsid w:val="00BC294D"/>
    <w:rsid w:val="00BC3AAA"/>
    <w:rsid w:val="00BC427B"/>
    <w:rsid w:val="00BC479A"/>
    <w:rsid w:val="00BC4A81"/>
    <w:rsid w:val="00BC64AA"/>
    <w:rsid w:val="00BD1135"/>
    <w:rsid w:val="00BD246F"/>
    <w:rsid w:val="00BD271A"/>
    <w:rsid w:val="00BD38AB"/>
    <w:rsid w:val="00BD3BF4"/>
    <w:rsid w:val="00BD44EE"/>
    <w:rsid w:val="00BD478F"/>
    <w:rsid w:val="00BD4A06"/>
    <w:rsid w:val="00BD4F61"/>
    <w:rsid w:val="00BD785A"/>
    <w:rsid w:val="00BE0381"/>
    <w:rsid w:val="00BE05A9"/>
    <w:rsid w:val="00BE10FF"/>
    <w:rsid w:val="00BE1483"/>
    <w:rsid w:val="00BE2895"/>
    <w:rsid w:val="00BE34D6"/>
    <w:rsid w:val="00BE36D1"/>
    <w:rsid w:val="00BE3966"/>
    <w:rsid w:val="00BE3E75"/>
    <w:rsid w:val="00BE525D"/>
    <w:rsid w:val="00BE5290"/>
    <w:rsid w:val="00BE5F38"/>
    <w:rsid w:val="00BE6085"/>
    <w:rsid w:val="00BE6CF9"/>
    <w:rsid w:val="00BE703F"/>
    <w:rsid w:val="00BF41EB"/>
    <w:rsid w:val="00BF4D4C"/>
    <w:rsid w:val="00BF7141"/>
    <w:rsid w:val="00C0053F"/>
    <w:rsid w:val="00C00F27"/>
    <w:rsid w:val="00C03AA3"/>
    <w:rsid w:val="00C0434A"/>
    <w:rsid w:val="00C049FA"/>
    <w:rsid w:val="00C04F7F"/>
    <w:rsid w:val="00C05A81"/>
    <w:rsid w:val="00C05C26"/>
    <w:rsid w:val="00C065F6"/>
    <w:rsid w:val="00C06931"/>
    <w:rsid w:val="00C06F9C"/>
    <w:rsid w:val="00C10178"/>
    <w:rsid w:val="00C102F1"/>
    <w:rsid w:val="00C11941"/>
    <w:rsid w:val="00C119B3"/>
    <w:rsid w:val="00C120D3"/>
    <w:rsid w:val="00C12D5B"/>
    <w:rsid w:val="00C139FC"/>
    <w:rsid w:val="00C15E64"/>
    <w:rsid w:val="00C16158"/>
    <w:rsid w:val="00C167D0"/>
    <w:rsid w:val="00C17D61"/>
    <w:rsid w:val="00C2103A"/>
    <w:rsid w:val="00C21875"/>
    <w:rsid w:val="00C2253B"/>
    <w:rsid w:val="00C22593"/>
    <w:rsid w:val="00C22844"/>
    <w:rsid w:val="00C23CD0"/>
    <w:rsid w:val="00C25967"/>
    <w:rsid w:val="00C261B8"/>
    <w:rsid w:val="00C31765"/>
    <w:rsid w:val="00C31C1A"/>
    <w:rsid w:val="00C32613"/>
    <w:rsid w:val="00C3284E"/>
    <w:rsid w:val="00C329EC"/>
    <w:rsid w:val="00C32AAA"/>
    <w:rsid w:val="00C340EA"/>
    <w:rsid w:val="00C3563E"/>
    <w:rsid w:val="00C36AC7"/>
    <w:rsid w:val="00C37260"/>
    <w:rsid w:val="00C37481"/>
    <w:rsid w:val="00C37E20"/>
    <w:rsid w:val="00C41A59"/>
    <w:rsid w:val="00C41D3B"/>
    <w:rsid w:val="00C43CCC"/>
    <w:rsid w:val="00C4400B"/>
    <w:rsid w:val="00C4461B"/>
    <w:rsid w:val="00C46EBC"/>
    <w:rsid w:val="00C50E42"/>
    <w:rsid w:val="00C5334B"/>
    <w:rsid w:val="00C5345E"/>
    <w:rsid w:val="00C53627"/>
    <w:rsid w:val="00C5383C"/>
    <w:rsid w:val="00C54008"/>
    <w:rsid w:val="00C546EE"/>
    <w:rsid w:val="00C559AB"/>
    <w:rsid w:val="00C55FC6"/>
    <w:rsid w:val="00C562D0"/>
    <w:rsid w:val="00C56D75"/>
    <w:rsid w:val="00C570EB"/>
    <w:rsid w:val="00C60066"/>
    <w:rsid w:val="00C60590"/>
    <w:rsid w:val="00C61A96"/>
    <w:rsid w:val="00C61C88"/>
    <w:rsid w:val="00C62641"/>
    <w:rsid w:val="00C6303A"/>
    <w:rsid w:val="00C647AE"/>
    <w:rsid w:val="00C64DEE"/>
    <w:rsid w:val="00C65D67"/>
    <w:rsid w:val="00C671E4"/>
    <w:rsid w:val="00C70BEF"/>
    <w:rsid w:val="00C71024"/>
    <w:rsid w:val="00C71D67"/>
    <w:rsid w:val="00C72DCD"/>
    <w:rsid w:val="00C73E51"/>
    <w:rsid w:val="00C7433F"/>
    <w:rsid w:val="00C76627"/>
    <w:rsid w:val="00C774BB"/>
    <w:rsid w:val="00C80022"/>
    <w:rsid w:val="00C81E88"/>
    <w:rsid w:val="00C82686"/>
    <w:rsid w:val="00C82BC7"/>
    <w:rsid w:val="00C832E8"/>
    <w:rsid w:val="00C83741"/>
    <w:rsid w:val="00C83C87"/>
    <w:rsid w:val="00C8467F"/>
    <w:rsid w:val="00C8567D"/>
    <w:rsid w:val="00C85AB8"/>
    <w:rsid w:val="00C85F9D"/>
    <w:rsid w:val="00C86071"/>
    <w:rsid w:val="00C867F6"/>
    <w:rsid w:val="00C939A6"/>
    <w:rsid w:val="00C93CE0"/>
    <w:rsid w:val="00C94CC5"/>
    <w:rsid w:val="00C966BB"/>
    <w:rsid w:val="00C967DC"/>
    <w:rsid w:val="00CA1E83"/>
    <w:rsid w:val="00CA218E"/>
    <w:rsid w:val="00CA23F0"/>
    <w:rsid w:val="00CA2406"/>
    <w:rsid w:val="00CA339C"/>
    <w:rsid w:val="00CA3830"/>
    <w:rsid w:val="00CA6B47"/>
    <w:rsid w:val="00CA7D35"/>
    <w:rsid w:val="00CB0A12"/>
    <w:rsid w:val="00CB3230"/>
    <w:rsid w:val="00CB371B"/>
    <w:rsid w:val="00CB381D"/>
    <w:rsid w:val="00CB4B50"/>
    <w:rsid w:val="00CB585A"/>
    <w:rsid w:val="00CB62D0"/>
    <w:rsid w:val="00CB693B"/>
    <w:rsid w:val="00CB74B0"/>
    <w:rsid w:val="00CB7D4E"/>
    <w:rsid w:val="00CC0119"/>
    <w:rsid w:val="00CC077C"/>
    <w:rsid w:val="00CC0A76"/>
    <w:rsid w:val="00CC0C85"/>
    <w:rsid w:val="00CC1213"/>
    <w:rsid w:val="00CC15E4"/>
    <w:rsid w:val="00CC29F9"/>
    <w:rsid w:val="00CC2FEC"/>
    <w:rsid w:val="00CC304F"/>
    <w:rsid w:val="00CC414A"/>
    <w:rsid w:val="00CC642E"/>
    <w:rsid w:val="00CC6C28"/>
    <w:rsid w:val="00CC7549"/>
    <w:rsid w:val="00CC7CA8"/>
    <w:rsid w:val="00CD0B51"/>
    <w:rsid w:val="00CD15FF"/>
    <w:rsid w:val="00CD2977"/>
    <w:rsid w:val="00CD2A1B"/>
    <w:rsid w:val="00CD5F6D"/>
    <w:rsid w:val="00CD7176"/>
    <w:rsid w:val="00CD72B1"/>
    <w:rsid w:val="00CD767A"/>
    <w:rsid w:val="00CD7AC2"/>
    <w:rsid w:val="00CE012D"/>
    <w:rsid w:val="00CE0BFD"/>
    <w:rsid w:val="00CE0E65"/>
    <w:rsid w:val="00CE13A9"/>
    <w:rsid w:val="00CE2CDA"/>
    <w:rsid w:val="00CE2F58"/>
    <w:rsid w:val="00CE340C"/>
    <w:rsid w:val="00CE3846"/>
    <w:rsid w:val="00CE39A3"/>
    <w:rsid w:val="00CE3AAB"/>
    <w:rsid w:val="00CE570E"/>
    <w:rsid w:val="00CE6498"/>
    <w:rsid w:val="00CE6C65"/>
    <w:rsid w:val="00CF0D94"/>
    <w:rsid w:val="00CF1569"/>
    <w:rsid w:val="00CF2E57"/>
    <w:rsid w:val="00CF51E7"/>
    <w:rsid w:val="00CF5828"/>
    <w:rsid w:val="00CF5F50"/>
    <w:rsid w:val="00CF7068"/>
    <w:rsid w:val="00CF70B5"/>
    <w:rsid w:val="00D015BC"/>
    <w:rsid w:val="00D016EF"/>
    <w:rsid w:val="00D01D7A"/>
    <w:rsid w:val="00D04BA0"/>
    <w:rsid w:val="00D05115"/>
    <w:rsid w:val="00D13042"/>
    <w:rsid w:val="00D13330"/>
    <w:rsid w:val="00D13C1F"/>
    <w:rsid w:val="00D14B70"/>
    <w:rsid w:val="00D15656"/>
    <w:rsid w:val="00D159D0"/>
    <w:rsid w:val="00D1736F"/>
    <w:rsid w:val="00D2062D"/>
    <w:rsid w:val="00D2223F"/>
    <w:rsid w:val="00D2270E"/>
    <w:rsid w:val="00D22B2B"/>
    <w:rsid w:val="00D23C8D"/>
    <w:rsid w:val="00D24A47"/>
    <w:rsid w:val="00D24C96"/>
    <w:rsid w:val="00D2510F"/>
    <w:rsid w:val="00D27B88"/>
    <w:rsid w:val="00D27FCE"/>
    <w:rsid w:val="00D30AB4"/>
    <w:rsid w:val="00D30DC8"/>
    <w:rsid w:val="00D30EC7"/>
    <w:rsid w:val="00D326DE"/>
    <w:rsid w:val="00D327DA"/>
    <w:rsid w:val="00D33595"/>
    <w:rsid w:val="00D369D7"/>
    <w:rsid w:val="00D36E39"/>
    <w:rsid w:val="00D378A5"/>
    <w:rsid w:val="00D37B9C"/>
    <w:rsid w:val="00D41263"/>
    <w:rsid w:val="00D4161A"/>
    <w:rsid w:val="00D42926"/>
    <w:rsid w:val="00D42E4B"/>
    <w:rsid w:val="00D44266"/>
    <w:rsid w:val="00D44609"/>
    <w:rsid w:val="00D4561B"/>
    <w:rsid w:val="00D45B2E"/>
    <w:rsid w:val="00D45C1C"/>
    <w:rsid w:val="00D4667E"/>
    <w:rsid w:val="00D474B4"/>
    <w:rsid w:val="00D50BFD"/>
    <w:rsid w:val="00D51645"/>
    <w:rsid w:val="00D52466"/>
    <w:rsid w:val="00D52A50"/>
    <w:rsid w:val="00D52BBD"/>
    <w:rsid w:val="00D5315C"/>
    <w:rsid w:val="00D54008"/>
    <w:rsid w:val="00D55485"/>
    <w:rsid w:val="00D560CE"/>
    <w:rsid w:val="00D57131"/>
    <w:rsid w:val="00D573E5"/>
    <w:rsid w:val="00D5773A"/>
    <w:rsid w:val="00D57BA1"/>
    <w:rsid w:val="00D6013A"/>
    <w:rsid w:val="00D603CB"/>
    <w:rsid w:val="00D60F50"/>
    <w:rsid w:val="00D61760"/>
    <w:rsid w:val="00D61ABD"/>
    <w:rsid w:val="00D61CDA"/>
    <w:rsid w:val="00D6324A"/>
    <w:rsid w:val="00D63C75"/>
    <w:rsid w:val="00D63E95"/>
    <w:rsid w:val="00D64A64"/>
    <w:rsid w:val="00D67C29"/>
    <w:rsid w:val="00D72B89"/>
    <w:rsid w:val="00D731D1"/>
    <w:rsid w:val="00D758CF"/>
    <w:rsid w:val="00D75BDE"/>
    <w:rsid w:val="00D7696D"/>
    <w:rsid w:val="00D76DB0"/>
    <w:rsid w:val="00D8054D"/>
    <w:rsid w:val="00D8198D"/>
    <w:rsid w:val="00D82573"/>
    <w:rsid w:val="00D83231"/>
    <w:rsid w:val="00D83816"/>
    <w:rsid w:val="00D83F2E"/>
    <w:rsid w:val="00D84076"/>
    <w:rsid w:val="00D84AF2"/>
    <w:rsid w:val="00D84FF2"/>
    <w:rsid w:val="00D851EA"/>
    <w:rsid w:val="00D8617F"/>
    <w:rsid w:val="00D86922"/>
    <w:rsid w:val="00D86E79"/>
    <w:rsid w:val="00D870DF"/>
    <w:rsid w:val="00D875F5"/>
    <w:rsid w:val="00D9112E"/>
    <w:rsid w:val="00D929D2"/>
    <w:rsid w:val="00D95E25"/>
    <w:rsid w:val="00D965C4"/>
    <w:rsid w:val="00D966A5"/>
    <w:rsid w:val="00DA00BD"/>
    <w:rsid w:val="00DA04B8"/>
    <w:rsid w:val="00DA145E"/>
    <w:rsid w:val="00DA1E87"/>
    <w:rsid w:val="00DA3334"/>
    <w:rsid w:val="00DA4C9F"/>
    <w:rsid w:val="00DA5276"/>
    <w:rsid w:val="00DA57B2"/>
    <w:rsid w:val="00DA5EB6"/>
    <w:rsid w:val="00DA61D7"/>
    <w:rsid w:val="00DB0C71"/>
    <w:rsid w:val="00DB0F60"/>
    <w:rsid w:val="00DB0FFA"/>
    <w:rsid w:val="00DB2885"/>
    <w:rsid w:val="00DB3853"/>
    <w:rsid w:val="00DB3C0B"/>
    <w:rsid w:val="00DB4C40"/>
    <w:rsid w:val="00DB4CB4"/>
    <w:rsid w:val="00DB50E0"/>
    <w:rsid w:val="00DB57C0"/>
    <w:rsid w:val="00DB5B1C"/>
    <w:rsid w:val="00DB5C46"/>
    <w:rsid w:val="00DC01A9"/>
    <w:rsid w:val="00DC0969"/>
    <w:rsid w:val="00DC1E19"/>
    <w:rsid w:val="00DC2D19"/>
    <w:rsid w:val="00DC3E32"/>
    <w:rsid w:val="00DC571D"/>
    <w:rsid w:val="00DC7890"/>
    <w:rsid w:val="00DD0378"/>
    <w:rsid w:val="00DD298D"/>
    <w:rsid w:val="00DD2EFF"/>
    <w:rsid w:val="00DD38E0"/>
    <w:rsid w:val="00DD4023"/>
    <w:rsid w:val="00DD42D8"/>
    <w:rsid w:val="00DD4827"/>
    <w:rsid w:val="00DD5994"/>
    <w:rsid w:val="00DD6E14"/>
    <w:rsid w:val="00DE086F"/>
    <w:rsid w:val="00DE1546"/>
    <w:rsid w:val="00DE1C46"/>
    <w:rsid w:val="00DE2EEA"/>
    <w:rsid w:val="00DE4A73"/>
    <w:rsid w:val="00DE4B5F"/>
    <w:rsid w:val="00DE68F1"/>
    <w:rsid w:val="00DE6C5E"/>
    <w:rsid w:val="00DE6E61"/>
    <w:rsid w:val="00DE7294"/>
    <w:rsid w:val="00DE72E6"/>
    <w:rsid w:val="00DE7F12"/>
    <w:rsid w:val="00DF01AE"/>
    <w:rsid w:val="00DF03B6"/>
    <w:rsid w:val="00DF0679"/>
    <w:rsid w:val="00DF1C5F"/>
    <w:rsid w:val="00DF42D8"/>
    <w:rsid w:val="00DF51DB"/>
    <w:rsid w:val="00DF5788"/>
    <w:rsid w:val="00DF67F4"/>
    <w:rsid w:val="00DF7150"/>
    <w:rsid w:val="00DF7C97"/>
    <w:rsid w:val="00E00095"/>
    <w:rsid w:val="00E00211"/>
    <w:rsid w:val="00E00567"/>
    <w:rsid w:val="00E01226"/>
    <w:rsid w:val="00E01F10"/>
    <w:rsid w:val="00E0253E"/>
    <w:rsid w:val="00E02D0A"/>
    <w:rsid w:val="00E03A4F"/>
    <w:rsid w:val="00E0508F"/>
    <w:rsid w:val="00E05744"/>
    <w:rsid w:val="00E0708F"/>
    <w:rsid w:val="00E07387"/>
    <w:rsid w:val="00E10053"/>
    <w:rsid w:val="00E117B3"/>
    <w:rsid w:val="00E1182E"/>
    <w:rsid w:val="00E12AF4"/>
    <w:rsid w:val="00E13083"/>
    <w:rsid w:val="00E132B2"/>
    <w:rsid w:val="00E14561"/>
    <w:rsid w:val="00E14789"/>
    <w:rsid w:val="00E156F6"/>
    <w:rsid w:val="00E166D3"/>
    <w:rsid w:val="00E2045A"/>
    <w:rsid w:val="00E21FF3"/>
    <w:rsid w:val="00E22057"/>
    <w:rsid w:val="00E221D1"/>
    <w:rsid w:val="00E22D11"/>
    <w:rsid w:val="00E23212"/>
    <w:rsid w:val="00E23B10"/>
    <w:rsid w:val="00E25B85"/>
    <w:rsid w:val="00E26182"/>
    <w:rsid w:val="00E26F59"/>
    <w:rsid w:val="00E275A1"/>
    <w:rsid w:val="00E303FD"/>
    <w:rsid w:val="00E30E37"/>
    <w:rsid w:val="00E31329"/>
    <w:rsid w:val="00E31B3E"/>
    <w:rsid w:val="00E320B5"/>
    <w:rsid w:val="00E3260F"/>
    <w:rsid w:val="00E32A20"/>
    <w:rsid w:val="00E32F3A"/>
    <w:rsid w:val="00E33782"/>
    <w:rsid w:val="00E3406D"/>
    <w:rsid w:val="00E34526"/>
    <w:rsid w:val="00E36544"/>
    <w:rsid w:val="00E373A6"/>
    <w:rsid w:val="00E376CB"/>
    <w:rsid w:val="00E40F58"/>
    <w:rsid w:val="00E444EA"/>
    <w:rsid w:val="00E45813"/>
    <w:rsid w:val="00E47A40"/>
    <w:rsid w:val="00E503AF"/>
    <w:rsid w:val="00E51C55"/>
    <w:rsid w:val="00E52146"/>
    <w:rsid w:val="00E54F0F"/>
    <w:rsid w:val="00E5733B"/>
    <w:rsid w:val="00E5790B"/>
    <w:rsid w:val="00E61AC6"/>
    <w:rsid w:val="00E62890"/>
    <w:rsid w:val="00E634E5"/>
    <w:rsid w:val="00E64636"/>
    <w:rsid w:val="00E64BCE"/>
    <w:rsid w:val="00E64FF9"/>
    <w:rsid w:val="00E65B38"/>
    <w:rsid w:val="00E66310"/>
    <w:rsid w:val="00E66C09"/>
    <w:rsid w:val="00E6785C"/>
    <w:rsid w:val="00E70300"/>
    <w:rsid w:val="00E70A1E"/>
    <w:rsid w:val="00E70B04"/>
    <w:rsid w:val="00E7333C"/>
    <w:rsid w:val="00E74568"/>
    <w:rsid w:val="00E74A07"/>
    <w:rsid w:val="00E75BE8"/>
    <w:rsid w:val="00E77F2F"/>
    <w:rsid w:val="00E81646"/>
    <w:rsid w:val="00E81AB4"/>
    <w:rsid w:val="00E84640"/>
    <w:rsid w:val="00E84C2C"/>
    <w:rsid w:val="00E856E4"/>
    <w:rsid w:val="00E85A9D"/>
    <w:rsid w:val="00E86551"/>
    <w:rsid w:val="00E91079"/>
    <w:rsid w:val="00E9148C"/>
    <w:rsid w:val="00E91C32"/>
    <w:rsid w:val="00E93ECE"/>
    <w:rsid w:val="00E94BA8"/>
    <w:rsid w:val="00E9566D"/>
    <w:rsid w:val="00E9635E"/>
    <w:rsid w:val="00E96CB5"/>
    <w:rsid w:val="00EA0036"/>
    <w:rsid w:val="00EA0928"/>
    <w:rsid w:val="00EA11C3"/>
    <w:rsid w:val="00EA138E"/>
    <w:rsid w:val="00EA1496"/>
    <w:rsid w:val="00EA24D4"/>
    <w:rsid w:val="00EA2EBB"/>
    <w:rsid w:val="00EA62AA"/>
    <w:rsid w:val="00EA68B3"/>
    <w:rsid w:val="00EA6982"/>
    <w:rsid w:val="00EA7209"/>
    <w:rsid w:val="00EA7B2F"/>
    <w:rsid w:val="00EB0F7D"/>
    <w:rsid w:val="00EB1513"/>
    <w:rsid w:val="00EB1F5A"/>
    <w:rsid w:val="00EB2630"/>
    <w:rsid w:val="00EB2FE1"/>
    <w:rsid w:val="00EB3256"/>
    <w:rsid w:val="00EB44D0"/>
    <w:rsid w:val="00EB506F"/>
    <w:rsid w:val="00EB52E8"/>
    <w:rsid w:val="00EB627F"/>
    <w:rsid w:val="00EC04FD"/>
    <w:rsid w:val="00EC1B56"/>
    <w:rsid w:val="00EC3EF4"/>
    <w:rsid w:val="00EC423F"/>
    <w:rsid w:val="00EC4F9A"/>
    <w:rsid w:val="00EC5842"/>
    <w:rsid w:val="00EC63C9"/>
    <w:rsid w:val="00EC6EDE"/>
    <w:rsid w:val="00ED1AB2"/>
    <w:rsid w:val="00ED29AD"/>
    <w:rsid w:val="00ED2C61"/>
    <w:rsid w:val="00ED3E34"/>
    <w:rsid w:val="00ED4281"/>
    <w:rsid w:val="00ED4D44"/>
    <w:rsid w:val="00ED5904"/>
    <w:rsid w:val="00ED5D70"/>
    <w:rsid w:val="00ED76D2"/>
    <w:rsid w:val="00EE2402"/>
    <w:rsid w:val="00EE2963"/>
    <w:rsid w:val="00EE41A7"/>
    <w:rsid w:val="00EE4A21"/>
    <w:rsid w:val="00EE6B8E"/>
    <w:rsid w:val="00EE7810"/>
    <w:rsid w:val="00EE7C18"/>
    <w:rsid w:val="00EF021A"/>
    <w:rsid w:val="00EF08CE"/>
    <w:rsid w:val="00EF156E"/>
    <w:rsid w:val="00EF1958"/>
    <w:rsid w:val="00EF1CF1"/>
    <w:rsid w:val="00EF2283"/>
    <w:rsid w:val="00EF229A"/>
    <w:rsid w:val="00EF5BD6"/>
    <w:rsid w:val="00EF6D4F"/>
    <w:rsid w:val="00EF6FAB"/>
    <w:rsid w:val="00EF7824"/>
    <w:rsid w:val="00EF7B3F"/>
    <w:rsid w:val="00F012EE"/>
    <w:rsid w:val="00F03B7C"/>
    <w:rsid w:val="00F06715"/>
    <w:rsid w:val="00F06A04"/>
    <w:rsid w:val="00F07168"/>
    <w:rsid w:val="00F0736C"/>
    <w:rsid w:val="00F07C60"/>
    <w:rsid w:val="00F07DA1"/>
    <w:rsid w:val="00F1211F"/>
    <w:rsid w:val="00F12B21"/>
    <w:rsid w:val="00F141A4"/>
    <w:rsid w:val="00F15C9D"/>
    <w:rsid w:val="00F15F41"/>
    <w:rsid w:val="00F16123"/>
    <w:rsid w:val="00F172AB"/>
    <w:rsid w:val="00F17861"/>
    <w:rsid w:val="00F22A0F"/>
    <w:rsid w:val="00F230EC"/>
    <w:rsid w:val="00F2397B"/>
    <w:rsid w:val="00F25EA3"/>
    <w:rsid w:val="00F26462"/>
    <w:rsid w:val="00F26E7A"/>
    <w:rsid w:val="00F301B9"/>
    <w:rsid w:val="00F309AB"/>
    <w:rsid w:val="00F30C87"/>
    <w:rsid w:val="00F31A29"/>
    <w:rsid w:val="00F32857"/>
    <w:rsid w:val="00F32AAE"/>
    <w:rsid w:val="00F33350"/>
    <w:rsid w:val="00F338F8"/>
    <w:rsid w:val="00F33AD2"/>
    <w:rsid w:val="00F34771"/>
    <w:rsid w:val="00F35B15"/>
    <w:rsid w:val="00F36CDA"/>
    <w:rsid w:val="00F3725A"/>
    <w:rsid w:val="00F37579"/>
    <w:rsid w:val="00F4144C"/>
    <w:rsid w:val="00F424DB"/>
    <w:rsid w:val="00F4300A"/>
    <w:rsid w:val="00F43FA4"/>
    <w:rsid w:val="00F44530"/>
    <w:rsid w:val="00F44CFD"/>
    <w:rsid w:val="00F457CD"/>
    <w:rsid w:val="00F4659D"/>
    <w:rsid w:val="00F475FA"/>
    <w:rsid w:val="00F51339"/>
    <w:rsid w:val="00F52E6D"/>
    <w:rsid w:val="00F52F69"/>
    <w:rsid w:val="00F532B8"/>
    <w:rsid w:val="00F53812"/>
    <w:rsid w:val="00F53909"/>
    <w:rsid w:val="00F53B23"/>
    <w:rsid w:val="00F53BB1"/>
    <w:rsid w:val="00F54B09"/>
    <w:rsid w:val="00F54E96"/>
    <w:rsid w:val="00F55786"/>
    <w:rsid w:val="00F5583D"/>
    <w:rsid w:val="00F558DF"/>
    <w:rsid w:val="00F56101"/>
    <w:rsid w:val="00F61318"/>
    <w:rsid w:val="00F62BDF"/>
    <w:rsid w:val="00F64815"/>
    <w:rsid w:val="00F64EA3"/>
    <w:rsid w:val="00F65082"/>
    <w:rsid w:val="00F659B2"/>
    <w:rsid w:val="00F66F46"/>
    <w:rsid w:val="00F6766C"/>
    <w:rsid w:val="00F71384"/>
    <w:rsid w:val="00F72921"/>
    <w:rsid w:val="00F740DB"/>
    <w:rsid w:val="00F761A5"/>
    <w:rsid w:val="00F765B9"/>
    <w:rsid w:val="00F765BB"/>
    <w:rsid w:val="00F77F0F"/>
    <w:rsid w:val="00F8271D"/>
    <w:rsid w:val="00F83445"/>
    <w:rsid w:val="00F83466"/>
    <w:rsid w:val="00F86495"/>
    <w:rsid w:val="00F865E0"/>
    <w:rsid w:val="00F90020"/>
    <w:rsid w:val="00F9055C"/>
    <w:rsid w:val="00F9184B"/>
    <w:rsid w:val="00F92BA3"/>
    <w:rsid w:val="00F938C8"/>
    <w:rsid w:val="00F95E3D"/>
    <w:rsid w:val="00F96557"/>
    <w:rsid w:val="00F9678F"/>
    <w:rsid w:val="00F96F3F"/>
    <w:rsid w:val="00F97232"/>
    <w:rsid w:val="00F97C15"/>
    <w:rsid w:val="00FA2191"/>
    <w:rsid w:val="00FA2606"/>
    <w:rsid w:val="00FA31CD"/>
    <w:rsid w:val="00FA3AEF"/>
    <w:rsid w:val="00FA6653"/>
    <w:rsid w:val="00FA7353"/>
    <w:rsid w:val="00FB0142"/>
    <w:rsid w:val="00FB01A5"/>
    <w:rsid w:val="00FB1AC9"/>
    <w:rsid w:val="00FB1F73"/>
    <w:rsid w:val="00FB2DDB"/>
    <w:rsid w:val="00FB3649"/>
    <w:rsid w:val="00FB53ED"/>
    <w:rsid w:val="00FB6DF4"/>
    <w:rsid w:val="00FB7FEE"/>
    <w:rsid w:val="00FC0600"/>
    <w:rsid w:val="00FC0B63"/>
    <w:rsid w:val="00FC0C28"/>
    <w:rsid w:val="00FC19A7"/>
    <w:rsid w:val="00FC1A15"/>
    <w:rsid w:val="00FC1D0E"/>
    <w:rsid w:val="00FC204B"/>
    <w:rsid w:val="00FC29AF"/>
    <w:rsid w:val="00FC304C"/>
    <w:rsid w:val="00FC3EEF"/>
    <w:rsid w:val="00FC477A"/>
    <w:rsid w:val="00FC4A76"/>
    <w:rsid w:val="00FC4A83"/>
    <w:rsid w:val="00FC4CF1"/>
    <w:rsid w:val="00FC5389"/>
    <w:rsid w:val="00FC603B"/>
    <w:rsid w:val="00FC6290"/>
    <w:rsid w:val="00FC7861"/>
    <w:rsid w:val="00FD1EC1"/>
    <w:rsid w:val="00FD2317"/>
    <w:rsid w:val="00FD31F4"/>
    <w:rsid w:val="00FD3328"/>
    <w:rsid w:val="00FD3AE2"/>
    <w:rsid w:val="00FD415B"/>
    <w:rsid w:val="00FD416F"/>
    <w:rsid w:val="00FD4EB6"/>
    <w:rsid w:val="00FD52CC"/>
    <w:rsid w:val="00FD5392"/>
    <w:rsid w:val="00FD6684"/>
    <w:rsid w:val="00FE0353"/>
    <w:rsid w:val="00FE171C"/>
    <w:rsid w:val="00FE178B"/>
    <w:rsid w:val="00FE2072"/>
    <w:rsid w:val="00FE3029"/>
    <w:rsid w:val="00FE42D2"/>
    <w:rsid w:val="00FE60A8"/>
    <w:rsid w:val="00FE6FE0"/>
    <w:rsid w:val="00FE71DB"/>
    <w:rsid w:val="00FE789F"/>
    <w:rsid w:val="00FE7971"/>
    <w:rsid w:val="00FF1C47"/>
    <w:rsid w:val="00FF1C77"/>
    <w:rsid w:val="00FF35CF"/>
    <w:rsid w:val="00FF4244"/>
    <w:rsid w:val="00FF475C"/>
    <w:rsid w:val="00FF4774"/>
    <w:rsid w:val="00FF5153"/>
    <w:rsid w:val="00FF5611"/>
    <w:rsid w:val="00FF63A4"/>
    <w:rsid w:val="00FF705B"/>
    <w:rsid w:val="00FF7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47827"/>
    </o:shapedefaults>
    <o:shapelayout v:ext="edit">
      <o:idmap v:ext="edit" data="2"/>
    </o:shapelayout>
  </w:shapeDefaults>
  <w:decimalSymbol w:val="."/>
  <w:listSeparator w:val=","/>
  <w14:docId w14:val="7CD80F2C"/>
  <w14:defaultImageDpi w14:val="32767"/>
  <w15:docId w15:val="{703FC7F2-500D-4053-B52B-D8942E74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99" w:unhideWhenUsed="1" w:qFormat="1"/>
    <w:lsdException w:name="toc 6" w:semiHidden="1" w:uiPriority="99" w:unhideWhenUsed="1" w:qFormat="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iPriority="2"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2" w:unhideWhenUsed="1"/>
    <w:lsdException w:name="annotation reference" w:semiHidden="1" w:uiPriority="99" w:unhideWhenUsed="1"/>
    <w:lsdException w:name="line number" w:semiHidden="1" w:unhideWhenUsed="1"/>
    <w:lsdException w:name="page number" w:semiHidden="1" w:uiPriority="2" w:unhideWhenUsed="1" w:qFormat="1"/>
    <w:lsdException w:name="endnote reference" w:semiHidden="1" w:uiPriority="2"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4D4"/>
    <w:pPr>
      <w:spacing w:line="259" w:lineRule="auto"/>
    </w:pPr>
    <w:rPr>
      <w:rFonts w:ascii="Times New Roman" w:eastAsiaTheme="minorHAnsi" w:hAnsi="Times New Roman" w:cstheme="minorBidi"/>
      <w:sz w:val="24"/>
    </w:rPr>
  </w:style>
  <w:style w:type="paragraph" w:styleId="Heading1">
    <w:name w:val="heading 1"/>
    <w:next w:val="BodyText"/>
    <w:link w:val="Heading1Char"/>
    <w:uiPriority w:val="1"/>
    <w:qFormat/>
    <w:rsid w:val="00F4144C"/>
    <w:pPr>
      <w:keepNext/>
      <w:spacing w:before="360" w:after="240"/>
      <w:outlineLvl w:val="0"/>
    </w:pPr>
    <w:rPr>
      <w:rFonts w:ascii="Calibri" w:hAnsi="Calibri"/>
      <w:b/>
      <w:color w:val="003F56" w:themeColor="accent6" w:themeShade="80"/>
      <w:kern w:val="28"/>
      <w:sz w:val="32"/>
    </w:rPr>
  </w:style>
  <w:style w:type="paragraph" w:styleId="Heading2">
    <w:name w:val="heading 2"/>
    <w:basedOn w:val="Heading1"/>
    <w:next w:val="BodyText"/>
    <w:uiPriority w:val="1"/>
    <w:qFormat/>
    <w:rsid w:val="00E75BE8"/>
    <w:pPr>
      <w:numPr>
        <w:ilvl w:val="1"/>
      </w:numPr>
      <w:spacing w:before="240" w:after="0"/>
      <w:outlineLvl w:val="1"/>
    </w:pPr>
    <w:rPr>
      <w:sz w:val="28"/>
    </w:rPr>
  </w:style>
  <w:style w:type="paragraph" w:styleId="Heading3">
    <w:name w:val="heading 3"/>
    <w:basedOn w:val="Heading2"/>
    <w:next w:val="BodyText"/>
    <w:uiPriority w:val="1"/>
    <w:qFormat/>
    <w:rsid w:val="00EA62AA"/>
    <w:pPr>
      <w:numPr>
        <w:ilvl w:val="2"/>
      </w:numPr>
      <w:outlineLvl w:val="2"/>
    </w:pPr>
    <w:rPr>
      <w:sz w:val="24"/>
    </w:rPr>
  </w:style>
  <w:style w:type="paragraph" w:styleId="Heading4">
    <w:name w:val="heading 4"/>
    <w:basedOn w:val="Heading3"/>
    <w:next w:val="BodyText"/>
    <w:uiPriority w:val="1"/>
    <w:qFormat/>
    <w:rsid w:val="00EA62AA"/>
    <w:pPr>
      <w:numPr>
        <w:ilvl w:val="3"/>
      </w:numPr>
      <w:outlineLvl w:val="3"/>
    </w:pPr>
    <w:rPr>
      <w:sz w:val="22"/>
    </w:rPr>
  </w:style>
  <w:style w:type="paragraph" w:styleId="Heading5">
    <w:name w:val="heading 5"/>
    <w:basedOn w:val="Heading4"/>
    <w:next w:val="Normal"/>
    <w:uiPriority w:val="1"/>
    <w:qFormat/>
    <w:rsid w:val="00EA62AA"/>
    <w:pPr>
      <w:numPr>
        <w:ilvl w:val="4"/>
      </w:numPr>
      <w:outlineLvl w:val="4"/>
    </w:pPr>
  </w:style>
  <w:style w:type="paragraph" w:styleId="Heading6">
    <w:name w:val="heading 6"/>
    <w:basedOn w:val="Normal"/>
    <w:next w:val="BodyText"/>
    <w:link w:val="Heading6Char"/>
    <w:uiPriority w:val="1"/>
    <w:qFormat/>
    <w:rsid w:val="00E275A1"/>
    <w:pPr>
      <w:numPr>
        <w:ilvl w:val="5"/>
        <w:numId w:val="1"/>
      </w:numPr>
      <w:spacing w:after="240"/>
      <w:jc w:val="center"/>
      <w:outlineLvl w:val="5"/>
    </w:pPr>
    <w:rPr>
      <w:rFonts w:asciiTheme="majorHAnsi" w:hAnsiTheme="majorHAnsi"/>
      <w:b/>
      <w:color w:val="D57500" w:themeColor="text2"/>
      <w:sz w:val="32"/>
    </w:rPr>
  </w:style>
  <w:style w:type="paragraph" w:styleId="Heading7">
    <w:name w:val="heading 7"/>
    <w:basedOn w:val="Heading2"/>
    <w:next w:val="BodyText"/>
    <w:uiPriority w:val="1"/>
    <w:qFormat/>
    <w:rsid w:val="00EA62AA"/>
    <w:pPr>
      <w:numPr>
        <w:ilvl w:val="6"/>
      </w:numPr>
      <w:outlineLvl w:val="6"/>
    </w:pPr>
  </w:style>
  <w:style w:type="paragraph" w:styleId="Heading8">
    <w:name w:val="heading 8"/>
    <w:basedOn w:val="Heading4"/>
    <w:next w:val="BodyText"/>
    <w:uiPriority w:val="1"/>
    <w:qFormat/>
    <w:rsid w:val="00EA62AA"/>
    <w:pPr>
      <w:numPr>
        <w:ilvl w:val="7"/>
      </w:numPr>
      <w:outlineLvl w:val="7"/>
    </w:pPr>
    <w:rPr>
      <w:sz w:val="24"/>
    </w:rPr>
  </w:style>
  <w:style w:type="paragraph" w:styleId="Heading9">
    <w:name w:val="heading 9"/>
    <w:basedOn w:val="Heading4"/>
    <w:next w:val="BodyText"/>
    <w:uiPriority w:val="1"/>
    <w:qFormat/>
    <w:rsid w:val="00EA62A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s">
    <w:name w:val="Acronyms"/>
    <w:qFormat/>
    <w:rsid w:val="00FC603B"/>
    <w:pPr>
      <w:spacing w:before="60" w:line="264" w:lineRule="auto"/>
      <w:ind w:left="2160" w:hanging="2160"/>
    </w:pPr>
    <w:rPr>
      <w:rFonts w:asciiTheme="minorHAnsi" w:hAnsiTheme="minorHAnsi"/>
    </w:rPr>
  </w:style>
  <w:style w:type="paragraph" w:styleId="BodyText">
    <w:name w:val="Body Text"/>
    <w:basedOn w:val="Normal"/>
    <w:link w:val="BodyTextChar"/>
    <w:qFormat/>
    <w:rsid w:val="00E74568"/>
    <w:pPr>
      <w:spacing w:before="240"/>
    </w:pPr>
    <w:rPr>
      <w:rFonts w:ascii="Calibri" w:hAnsi="Calibri"/>
      <w:sz w:val="22"/>
    </w:rPr>
  </w:style>
  <w:style w:type="paragraph" w:styleId="Caption">
    <w:name w:val="caption"/>
    <w:basedOn w:val="Normal"/>
    <w:next w:val="Normal"/>
    <w:uiPriority w:val="1"/>
    <w:semiHidden/>
    <w:qFormat/>
    <w:rsid w:val="000402EC"/>
    <w:pPr>
      <w:jc w:val="center"/>
    </w:pPr>
    <w:rPr>
      <w:color w:val="D57500" w:themeColor="text2"/>
    </w:rPr>
  </w:style>
  <w:style w:type="paragraph" w:customStyle="1" w:styleId="Caption-Fig">
    <w:name w:val="Caption-Fig"/>
    <w:basedOn w:val="Caption"/>
    <w:next w:val="Normal"/>
    <w:qFormat/>
    <w:rsid w:val="00CE6498"/>
    <w:pPr>
      <w:spacing w:before="120" w:after="240"/>
      <w:ind w:left="990" w:hanging="990"/>
      <w:jc w:val="left"/>
    </w:pPr>
  </w:style>
  <w:style w:type="paragraph" w:customStyle="1" w:styleId="Caption-Tab">
    <w:name w:val="Caption-Tab"/>
    <w:basedOn w:val="Caption"/>
    <w:next w:val="Normal"/>
    <w:qFormat/>
    <w:rsid w:val="00AF5EB6"/>
    <w:pPr>
      <w:keepNext/>
      <w:spacing w:before="480" w:after="120"/>
      <w:ind w:left="990" w:hanging="990"/>
      <w:jc w:val="left"/>
    </w:pPr>
    <w:rPr>
      <w:rFonts w:ascii="Calibri" w:hAnsi="Calibri"/>
      <w:b/>
      <w:color w:val="003F56" w:themeColor="accent6" w:themeShade="80"/>
      <w:sz w:val="22"/>
    </w:rPr>
  </w:style>
  <w:style w:type="paragraph" w:styleId="Footer">
    <w:name w:val="footer"/>
    <w:basedOn w:val="Header"/>
    <w:link w:val="FooterChar"/>
    <w:uiPriority w:val="99"/>
    <w:unhideWhenUsed/>
    <w:qFormat/>
    <w:rsid w:val="004D41A2"/>
    <w:pPr>
      <w:tabs>
        <w:tab w:val="right" w:pos="10080"/>
      </w:tabs>
      <w:jc w:val="center"/>
    </w:pPr>
  </w:style>
  <w:style w:type="character" w:styleId="FootnoteReference">
    <w:name w:val="footnote reference"/>
    <w:basedOn w:val="DefaultParagraphFont"/>
    <w:uiPriority w:val="2"/>
    <w:unhideWhenUsed/>
    <w:rsid w:val="00D64A64"/>
    <w:rPr>
      <w:rFonts w:ascii="Arial" w:hAnsi="Arial"/>
      <w:sz w:val="22"/>
      <w:bdr w:val="none" w:sz="0" w:space="0" w:color="auto"/>
      <w:shd w:val="clear" w:color="auto" w:fill="auto"/>
      <w:vertAlign w:val="superscript"/>
    </w:rPr>
  </w:style>
  <w:style w:type="paragraph" w:styleId="FootnoteText">
    <w:name w:val="footnote text"/>
    <w:uiPriority w:val="2"/>
    <w:unhideWhenUsed/>
    <w:rsid w:val="00EA62AA"/>
    <w:rPr>
      <w:sz w:val="20"/>
    </w:rPr>
  </w:style>
  <w:style w:type="paragraph" w:styleId="Header">
    <w:name w:val="header"/>
    <w:link w:val="HeaderChar"/>
    <w:uiPriority w:val="99"/>
    <w:unhideWhenUsed/>
    <w:qFormat/>
    <w:rsid w:val="00204565"/>
    <w:pPr>
      <w:ind w:left="-720" w:right="-720"/>
      <w:jc w:val="right"/>
    </w:pPr>
    <w:rPr>
      <w:rFonts w:asciiTheme="majorHAnsi" w:hAnsiTheme="majorHAnsi"/>
    </w:rPr>
  </w:style>
  <w:style w:type="paragraph" w:customStyle="1" w:styleId="Heading-FrontTOC">
    <w:name w:val="Heading-Front (TOC)"/>
    <w:basedOn w:val="Heading1"/>
    <w:next w:val="BodyText"/>
    <w:uiPriority w:val="1"/>
    <w:qFormat/>
    <w:rsid w:val="000B2EE8"/>
    <w:pPr>
      <w:spacing w:before="0" w:line="264" w:lineRule="auto"/>
    </w:pPr>
    <w:rPr>
      <w:color w:val="auto"/>
    </w:rPr>
  </w:style>
  <w:style w:type="paragraph" w:customStyle="1" w:styleId="HeadingFrontNoTOC">
    <w:name w:val="Heading Front (No TOC)"/>
    <w:basedOn w:val="Heading-FrontTOC"/>
    <w:next w:val="BodyText"/>
    <w:uiPriority w:val="1"/>
    <w:qFormat/>
    <w:rsid w:val="009F756C"/>
    <w:pPr>
      <w:spacing w:after="360"/>
      <w:jc w:val="center"/>
    </w:pPr>
    <w:rPr>
      <w:sz w:val="36"/>
    </w:rPr>
  </w:style>
  <w:style w:type="character" w:styleId="Hyperlink">
    <w:name w:val="Hyperlink"/>
    <w:basedOn w:val="DefaultParagraphFont"/>
    <w:uiPriority w:val="99"/>
    <w:unhideWhenUsed/>
    <w:rsid w:val="00EA62AA"/>
    <w:rPr>
      <w:color w:val="0000FF"/>
      <w:u w:val="single"/>
    </w:rPr>
  </w:style>
  <w:style w:type="paragraph" w:styleId="List">
    <w:name w:val="List"/>
    <w:basedOn w:val="BodyText"/>
    <w:qFormat/>
    <w:rsid w:val="00EA62AA"/>
    <w:pPr>
      <w:numPr>
        <w:numId w:val="2"/>
      </w:numPr>
      <w:spacing w:before="120"/>
    </w:pPr>
  </w:style>
  <w:style w:type="paragraph" w:styleId="ListBullet">
    <w:name w:val="List Bullet"/>
    <w:basedOn w:val="List"/>
    <w:qFormat/>
    <w:rsid w:val="00512532"/>
    <w:pPr>
      <w:numPr>
        <w:numId w:val="3"/>
      </w:numPr>
      <w:ind w:left="360"/>
    </w:pPr>
  </w:style>
  <w:style w:type="paragraph" w:styleId="ListBullet2">
    <w:name w:val="List Bullet 2"/>
    <w:basedOn w:val="ListBullet"/>
    <w:qFormat/>
    <w:rsid w:val="00EA62AA"/>
    <w:pPr>
      <w:numPr>
        <w:numId w:val="4"/>
      </w:numPr>
    </w:pPr>
  </w:style>
  <w:style w:type="paragraph" w:styleId="ListBullet3">
    <w:name w:val="List Bullet 3"/>
    <w:basedOn w:val="ListBullet2"/>
    <w:qFormat/>
    <w:rsid w:val="00EA62AA"/>
    <w:pPr>
      <w:numPr>
        <w:numId w:val="5"/>
      </w:numPr>
    </w:pPr>
  </w:style>
  <w:style w:type="paragraph" w:customStyle="1" w:styleId="TableText">
    <w:name w:val="TableText"/>
    <w:basedOn w:val="BodyText"/>
    <w:qFormat/>
    <w:rsid w:val="008534B1"/>
    <w:pPr>
      <w:spacing w:before="0"/>
    </w:pPr>
    <w:rPr>
      <w:sz w:val="20"/>
      <w:szCs w:val="20"/>
    </w:rPr>
  </w:style>
  <w:style w:type="paragraph" w:customStyle="1" w:styleId="ListLetter">
    <w:name w:val="List Letter"/>
    <w:uiPriority w:val="99"/>
    <w:unhideWhenUsed/>
    <w:rsid w:val="00EA62AA"/>
    <w:pPr>
      <w:numPr>
        <w:numId w:val="6"/>
      </w:numPr>
      <w:spacing w:before="120"/>
    </w:pPr>
  </w:style>
  <w:style w:type="paragraph" w:styleId="ListNumber">
    <w:name w:val="List Number"/>
    <w:link w:val="ListNumberChar"/>
    <w:uiPriority w:val="99"/>
    <w:unhideWhenUsed/>
    <w:rsid w:val="00F4144C"/>
    <w:pPr>
      <w:numPr>
        <w:numId w:val="7"/>
      </w:numPr>
      <w:spacing w:before="120"/>
    </w:pPr>
    <w:rPr>
      <w:rFonts w:ascii="Calibri" w:hAnsi="Calibri"/>
    </w:rPr>
  </w:style>
  <w:style w:type="character" w:styleId="PageNumber">
    <w:name w:val="page number"/>
    <w:basedOn w:val="DefaultParagraphFont"/>
    <w:uiPriority w:val="2"/>
    <w:unhideWhenUsed/>
    <w:qFormat/>
    <w:rsid w:val="00C80022"/>
    <w:rPr>
      <w:b w:val="0"/>
      <w:noProof/>
      <w:color w:val="003F56" w:themeColor="accent6" w:themeShade="80"/>
      <w:sz w:val="22"/>
    </w:rPr>
  </w:style>
  <w:style w:type="table" w:styleId="TableGrid">
    <w:name w:val="Table Grid"/>
    <w:basedOn w:val="TableNormal"/>
    <w:uiPriority w:val="39"/>
    <w:rsid w:val="001F7071"/>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EA62AA"/>
    <w:pPr>
      <w:ind w:left="220" w:hanging="220"/>
    </w:pPr>
  </w:style>
  <w:style w:type="paragraph" w:styleId="TableofFigures">
    <w:name w:val="table of figures"/>
    <w:basedOn w:val="Normal"/>
    <w:next w:val="Normal"/>
    <w:autoRedefine/>
    <w:uiPriority w:val="98"/>
    <w:qFormat/>
    <w:rsid w:val="00132E6B"/>
    <w:pPr>
      <w:tabs>
        <w:tab w:val="right" w:leader="dot" w:pos="9360"/>
      </w:tabs>
      <w:spacing w:before="80"/>
      <w:ind w:left="1440" w:right="720" w:hanging="1440"/>
    </w:pPr>
    <w:rPr>
      <w:noProof/>
    </w:rPr>
  </w:style>
  <w:style w:type="paragraph" w:customStyle="1" w:styleId="TableTextFootnote">
    <w:name w:val="TableText_Footnote"/>
    <w:basedOn w:val="TableText"/>
    <w:qFormat/>
    <w:rsid w:val="008534B1"/>
    <w:pPr>
      <w:ind w:left="400" w:hanging="400"/>
    </w:pPr>
  </w:style>
  <w:style w:type="paragraph" w:styleId="TOC1">
    <w:name w:val="toc 1"/>
    <w:basedOn w:val="Normal"/>
    <w:next w:val="Normal"/>
    <w:autoRedefine/>
    <w:uiPriority w:val="39"/>
    <w:unhideWhenUsed/>
    <w:qFormat/>
    <w:rsid w:val="0071095F"/>
    <w:pPr>
      <w:keepLines/>
      <w:tabs>
        <w:tab w:val="right" w:leader="dot" w:pos="9360"/>
      </w:tabs>
      <w:spacing w:before="80"/>
      <w:ind w:left="720" w:right="720" w:hanging="720"/>
    </w:pPr>
    <w:rPr>
      <w:noProof/>
    </w:rPr>
  </w:style>
  <w:style w:type="paragraph" w:styleId="TOC2">
    <w:name w:val="toc 2"/>
    <w:basedOn w:val="Normal"/>
    <w:next w:val="Normal"/>
    <w:autoRedefine/>
    <w:uiPriority w:val="39"/>
    <w:unhideWhenUsed/>
    <w:rsid w:val="0071095F"/>
    <w:pPr>
      <w:tabs>
        <w:tab w:val="left" w:pos="1440"/>
        <w:tab w:val="right" w:leader="dot" w:pos="9360"/>
      </w:tabs>
      <w:spacing w:before="80"/>
      <w:ind w:left="1440" w:right="720" w:hanging="720"/>
    </w:pPr>
    <w:rPr>
      <w:noProof/>
    </w:rPr>
  </w:style>
  <w:style w:type="paragraph" w:styleId="TOC3">
    <w:name w:val="toc 3"/>
    <w:basedOn w:val="Normal"/>
    <w:next w:val="Normal"/>
    <w:autoRedefine/>
    <w:uiPriority w:val="39"/>
    <w:unhideWhenUsed/>
    <w:rsid w:val="00DA3334"/>
    <w:pPr>
      <w:tabs>
        <w:tab w:val="right" w:leader="dot" w:pos="9360"/>
      </w:tabs>
      <w:spacing w:before="80"/>
      <w:ind w:left="2340" w:right="720" w:hanging="875"/>
    </w:pPr>
    <w:rPr>
      <w:noProof/>
    </w:rPr>
  </w:style>
  <w:style w:type="paragraph" w:styleId="TOC4">
    <w:name w:val="toc 4"/>
    <w:basedOn w:val="TOC1"/>
    <w:next w:val="Normal"/>
    <w:autoRedefine/>
    <w:uiPriority w:val="39"/>
    <w:qFormat/>
    <w:rsid w:val="00DA3334"/>
    <w:pPr>
      <w:ind w:left="3240" w:hanging="911"/>
    </w:pPr>
  </w:style>
  <w:style w:type="paragraph" w:styleId="TOC5">
    <w:name w:val="toc 5"/>
    <w:basedOn w:val="Normal"/>
    <w:next w:val="Normal"/>
    <w:autoRedefine/>
    <w:uiPriority w:val="99"/>
    <w:semiHidden/>
    <w:qFormat/>
    <w:rsid w:val="00EA62AA"/>
    <w:pPr>
      <w:ind w:left="880"/>
    </w:pPr>
  </w:style>
  <w:style w:type="paragraph" w:styleId="TOC6">
    <w:name w:val="toc 6"/>
    <w:basedOn w:val="Normal"/>
    <w:next w:val="Normal"/>
    <w:autoRedefine/>
    <w:uiPriority w:val="99"/>
    <w:semiHidden/>
    <w:qFormat/>
    <w:rsid w:val="00EA62AA"/>
    <w:pPr>
      <w:tabs>
        <w:tab w:val="right" w:leader="dot" w:pos="9360"/>
      </w:tabs>
    </w:pPr>
  </w:style>
  <w:style w:type="paragraph" w:customStyle="1" w:styleId="TableCaption">
    <w:name w:val="Table Caption"/>
    <w:basedOn w:val="Normal"/>
    <w:semiHidden/>
    <w:unhideWhenUsed/>
    <w:rsid w:val="00EA62AA"/>
    <w:pPr>
      <w:keepNext/>
      <w:spacing w:after="180"/>
    </w:pPr>
    <w:rPr>
      <w:b/>
      <w:bCs/>
    </w:rPr>
  </w:style>
  <w:style w:type="paragraph" w:customStyle="1" w:styleId="TableTextDecimal">
    <w:name w:val="TableText_Decimal"/>
    <w:basedOn w:val="TableText"/>
    <w:qFormat/>
    <w:rsid w:val="008534B1"/>
    <w:pPr>
      <w:tabs>
        <w:tab w:val="decimal" w:pos="456"/>
      </w:tabs>
    </w:pPr>
  </w:style>
  <w:style w:type="character" w:customStyle="1" w:styleId="BodyTextChar">
    <w:name w:val="Body Text Char"/>
    <w:basedOn w:val="DefaultParagraphFont"/>
    <w:link w:val="BodyText"/>
    <w:rsid w:val="00E74568"/>
    <w:rPr>
      <w:rFonts w:ascii="Calibri" w:eastAsiaTheme="minorHAnsi" w:hAnsi="Calibri" w:cstheme="minorBidi"/>
    </w:rPr>
  </w:style>
  <w:style w:type="character" w:customStyle="1" w:styleId="HeaderChar">
    <w:name w:val="Header Char"/>
    <w:basedOn w:val="DefaultParagraphFont"/>
    <w:link w:val="Header"/>
    <w:uiPriority w:val="99"/>
    <w:rsid w:val="00204565"/>
    <w:rPr>
      <w:rFonts w:asciiTheme="majorHAnsi" w:hAnsiTheme="majorHAnsi"/>
    </w:rPr>
  </w:style>
  <w:style w:type="character" w:customStyle="1" w:styleId="FooterChar">
    <w:name w:val="Footer Char"/>
    <w:basedOn w:val="DefaultParagraphFont"/>
    <w:link w:val="Footer"/>
    <w:uiPriority w:val="99"/>
    <w:rsid w:val="004D41A2"/>
  </w:style>
  <w:style w:type="paragraph" w:styleId="TOC9">
    <w:name w:val="toc 9"/>
    <w:basedOn w:val="TOC1"/>
    <w:next w:val="Normal"/>
    <w:autoRedefine/>
    <w:uiPriority w:val="39"/>
    <w:unhideWhenUsed/>
    <w:qFormat/>
    <w:rsid w:val="007F78D4"/>
  </w:style>
  <w:style w:type="paragraph" w:customStyle="1" w:styleId="distr">
    <w:name w:val="distr"/>
    <w:basedOn w:val="Normal"/>
    <w:uiPriority w:val="99"/>
    <w:qFormat/>
    <w:rsid w:val="006022C1"/>
    <w:pPr>
      <w:tabs>
        <w:tab w:val="left" w:pos="900"/>
        <w:tab w:val="right" w:pos="3960"/>
      </w:tabs>
      <w:ind w:left="720" w:hanging="360"/>
    </w:pPr>
  </w:style>
  <w:style w:type="paragraph" w:customStyle="1" w:styleId="WhiteCoverPNNLPreparedFor">
    <w:name w:val="White_Cover_PNNL_Prepared_For"/>
    <w:basedOn w:val="Normal"/>
    <w:qFormat/>
    <w:rsid w:val="00845877"/>
    <w:pPr>
      <w:framePr w:hSpace="187" w:wrap="around" w:hAnchor="margin" w:yAlign="bottom"/>
      <w:tabs>
        <w:tab w:val="left" w:pos="2160"/>
        <w:tab w:val="left" w:pos="4680"/>
      </w:tabs>
      <w:spacing w:before="240" w:line="264" w:lineRule="auto"/>
      <w:suppressOverlap/>
    </w:pPr>
    <w:rPr>
      <w:rFonts w:asciiTheme="majorHAnsi" w:eastAsiaTheme="minorEastAsia" w:hAnsiTheme="majorHAnsi"/>
      <w:sz w:val="14"/>
      <w:szCs w:val="24"/>
    </w:rPr>
  </w:style>
  <w:style w:type="character" w:styleId="EndnoteReference">
    <w:name w:val="endnote reference"/>
    <w:basedOn w:val="DefaultParagraphFont"/>
    <w:uiPriority w:val="2"/>
    <w:unhideWhenUsed/>
    <w:rsid w:val="00D64A64"/>
    <w:rPr>
      <w:rFonts w:ascii="Arial" w:hAnsi="Arial"/>
      <w:vertAlign w:val="superscript"/>
    </w:rPr>
  </w:style>
  <w:style w:type="paragraph" w:customStyle="1" w:styleId="Figure">
    <w:name w:val="Figure"/>
    <w:basedOn w:val="Normal"/>
    <w:next w:val="Caption-Fig"/>
    <w:qFormat/>
    <w:rsid w:val="008C2FB6"/>
    <w:pPr>
      <w:keepNext/>
      <w:spacing w:before="240"/>
      <w:ind w:left="-720" w:right="-720"/>
      <w:jc w:val="center"/>
    </w:pPr>
  </w:style>
  <w:style w:type="character" w:styleId="FollowedHyperlink">
    <w:name w:val="FollowedHyperlink"/>
    <w:basedOn w:val="DefaultParagraphFont"/>
    <w:semiHidden/>
    <w:unhideWhenUsed/>
    <w:rsid w:val="00EA62AA"/>
    <w:rPr>
      <w:color w:val="800080"/>
      <w:u w:val="single"/>
    </w:rPr>
  </w:style>
  <w:style w:type="paragraph" w:styleId="NormalWeb">
    <w:name w:val="Normal (Web)"/>
    <w:basedOn w:val="Normal"/>
    <w:semiHidden/>
    <w:unhideWhenUsed/>
    <w:rsid w:val="00EA62AA"/>
    <w:rPr>
      <w:szCs w:val="24"/>
    </w:rPr>
  </w:style>
  <w:style w:type="paragraph" w:styleId="TOCHeading">
    <w:name w:val="TOC Heading"/>
    <w:basedOn w:val="Heading1"/>
    <w:next w:val="Normal"/>
    <w:uiPriority w:val="39"/>
    <w:semiHidden/>
    <w:unhideWhenUsed/>
    <w:qFormat/>
    <w:rsid w:val="00EA62AA"/>
    <w:pPr>
      <w:keepLines/>
      <w:spacing w:before="480" w:after="0" w:line="276" w:lineRule="auto"/>
      <w:outlineLvl w:val="9"/>
    </w:pPr>
    <w:rPr>
      <w:rFonts w:ascii="Cambria" w:hAnsi="Cambria"/>
      <w:bCs/>
      <w:color w:val="365F91"/>
      <w:kern w:val="0"/>
      <w:sz w:val="28"/>
      <w:szCs w:val="28"/>
    </w:rPr>
  </w:style>
  <w:style w:type="paragraph" w:customStyle="1" w:styleId="PNNLTitlePageTitle">
    <w:name w:val="PNNL_Title_Page_Title"/>
    <w:basedOn w:val="Normal"/>
    <w:uiPriority w:val="99"/>
    <w:qFormat/>
    <w:rsid w:val="001F7071"/>
    <w:rPr>
      <w:rFonts w:asciiTheme="majorHAnsi" w:hAnsiTheme="majorHAnsi" w:cs="Arial"/>
      <w:b/>
      <w:w w:val="104"/>
      <w:sz w:val="40"/>
      <w:szCs w:val="40"/>
    </w:rPr>
  </w:style>
  <w:style w:type="paragraph" w:customStyle="1" w:styleId="PNNLTitle-PageText">
    <w:name w:val="PNNL_Title-Page_Text"/>
    <w:basedOn w:val="Normal"/>
    <w:uiPriority w:val="99"/>
    <w:qFormat/>
    <w:rsid w:val="001F7071"/>
    <w:pPr>
      <w:tabs>
        <w:tab w:val="left" w:pos="2880"/>
      </w:tabs>
    </w:pPr>
    <w:rPr>
      <w:rFonts w:asciiTheme="majorHAnsi" w:hAnsiTheme="majorHAnsi"/>
      <w:szCs w:val="24"/>
    </w:rPr>
  </w:style>
  <w:style w:type="paragraph" w:customStyle="1" w:styleId="Equation">
    <w:name w:val="Equation"/>
    <w:basedOn w:val="BodyText"/>
    <w:uiPriority w:val="2"/>
    <w:qFormat/>
    <w:rsid w:val="00962770"/>
  </w:style>
  <w:style w:type="paragraph" w:styleId="DocumentMap">
    <w:name w:val="Document Map"/>
    <w:basedOn w:val="Normal"/>
    <w:link w:val="DocumentMapChar"/>
    <w:semiHidden/>
    <w:unhideWhenUsed/>
    <w:rsid w:val="00EA62AA"/>
    <w:rPr>
      <w:rFonts w:ascii="Tahoma" w:hAnsi="Tahoma" w:cs="Tahoma"/>
      <w:sz w:val="16"/>
      <w:szCs w:val="16"/>
    </w:rPr>
  </w:style>
  <w:style w:type="character" w:customStyle="1" w:styleId="DocumentMapChar">
    <w:name w:val="Document Map Char"/>
    <w:basedOn w:val="DefaultParagraphFont"/>
    <w:link w:val="DocumentMap"/>
    <w:semiHidden/>
    <w:rsid w:val="00EA62AA"/>
    <w:rPr>
      <w:rFonts w:ascii="Tahoma" w:hAnsi="Tahoma" w:cs="Tahoma"/>
      <w:sz w:val="16"/>
      <w:szCs w:val="16"/>
    </w:rPr>
  </w:style>
  <w:style w:type="paragraph" w:styleId="BalloonText">
    <w:name w:val="Balloon Text"/>
    <w:basedOn w:val="Normal"/>
    <w:link w:val="BalloonTextChar"/>
    <w:semiHidden/>
    <w:unhideWhenUsed/>
    <w:rsid w:val="00EA62AA"/>
    <w:rPr>
      <w:rFonts w:ascii="Tahoma" w:hAnsi="Tahoma" w:cs="Tahoma"/>
      <w:sz w:val="16"/>
      <w:szCs w:val="16"/>
    </w:rPr>
  </w:style>
  <w:style w:type="character" w:customStyle="1" w:styleId="BalloonTextChar">
    <w:name w:val="Balloon Text Char"/>
    <w:basedOn w:val="DefaultParagraphFont"/>
    <w:link w:val="BalloonText"/>
    <w:semiHidden/>
    <w:rsid w:val="00EA62AA"/>
    <w:rPr>
      <w:rFonts w:ascii="Tahoma" w:hAnsi="Tahoma" w:cs="Tahoma"/>
      <w:sz w:val="16"/>
      <w:szCs w:val="16"/>
    </w:rPr>
  </w:style>
  <w:style w:type="paragraph" w:customStyle="1" w:styleId="wherestatement">
    <w:name w:val="where statement"/>
    <w:basedOn w:val="Normal"/>
    <w:qFormat/>
    <w:rsid w:val="00EA62AA"/>
    <w:pPr>
      <w:tabs>
        <w:tab w:val="right" w:pos="1530"/>
        <w:tab w:val="left" w:pos="1710"/>
        <w:tab w:val="left" w:pos="2070"/>
      </w:tabs>
      <w:ind w:left="2074" w:hanging="2074"/>
    </w:pPr>
  </w:style>
  <w:style w:type="character" w:customStyle="1" w:styleId="Heading6Char">
    <w:name w:val="Heading 6 Char"/>
    <w:basedOn w:val="DefaultParagraphFont"/>
    <w:link w:val="Heading6"/>
    <w:uiPriority w:val="1"/>
    <w:rsid w:val="00E275A1"/>
    <w:rPr>
      <w:rFonts w:asciiTheme="majorHAnsi" w:hAnsiTheme="majorHAnsi"/>
      <w:b/>
      <w:color w:val="D57500" w:themeColor="text2"/>
      <w:sz w:val="32"/>
    </w:rPr>
  </w:style>
  <w:style w:type="character" w:customStyle="1" w:styleId="Heading1Char">
    <w:name w:val="Heading 1 Char"/>
    <w:basedOn w:val="DefaultParagraphFont"/>
    <w:link w:val="Heading1"/>
    <w:uiPriority w:val="1"/>
    <w:rsid w:val="00F4144C"/>
    <w:rPr>
      <w:rFonts w:ascii="Calibri" w:hAnsi="Calibri"/>
      <w:b/>
      <w:color w:val="003F56" w:themeColor="accent6" w:themeShade="80"/>
      <w:kern w:val="28"/>
      <w:sz w:val="32"/>
    </w:rPr>
  </w:style>
  <w:style w:type="paragraph" w:styleId="EndnoteText">
    <w:name w:val="endnote text"/>
    <w:basedOn w:val="Normal"/>
    <w:link w:val="EndnoteTextChar"/>
    <w:semiHidden/>
    <w:unhideWhenUsed/>
    <w:rsid w:val="00EA62AA"/>
    <w:rPr>
      <w:sz w:val="20"/>
      <w:szCs w:val="20"/>
    </w:rPr>
  </w:style>
  <w:style w:type="character" w:customStyle="1" w:styleId="EndnoteTextChar">
    <w:name w:val="Endnote Text Char"/>
    <w:basedOn w:val="DefaultParagraphFont"/>
    <w:link w:val="EndnoteText"/>
    <w:semiHidden/>
    <w:rsid w:val="00EA62AA"/>
    <w:rPr>
      <w:sz w:val="20"/>
      <w:szCs w:val="20"/>
    </w:rPr>
  </w:style>
  <w:style w:type="character" w:customStyle="1" w:styleId="ListNumberChar">
    <w:name w:val="List Number Char"/>
    <w:basedOn w:val="DefaultParagraphFont"/>
    <w:link w:val="ListNumber"/>
    <w:uiPriority w:val="99"/>
    <w:rsid w:val="00F4144C"/>
    <w:rPr>
      <w:rFonts w:ascii="Calibri" w:hAnsi="Calibri"/>
    </w:rPr>
  </w:style>
  <w:style w:type="paragraph" w:customStyle="1" w:styleId="HeaderCover">
    <w:name w:val="HeaderCover"/>
    <w:basedOn w:val="Header"/>
    <w:semiHidden/>
    <w:qFormat/>
    <w:rsid w:val="00EA62AA"/>
    <w:pPr>
      <w:tabs>
        <w:tab w:val="center" w:pos="7920"/>
      </w:tabs>
    </w:pPr>
  </w:style>
  <w:style w:type="paragraph" w:customStyle="1" w:styleId="PNNLTitlePageSubtitle">
    <w:name w:val="PNNL_Title_Page_Subtitle"/>
    <w:basedOn w:val="PNNLTitle-PageText"/>
    <w:uiPriority w:val="99"/>
    <w:qFormat/>
    <w:rsid w:val="001F7071"/>
    <w:pPr>
      <w:spacing w:before="240"/>
    </w:pPr>
    <w:rPr>
      <w:sz w:val="28"/>
    </w:rPr>
  </w:style>
  <w:style w:type="character" w:styleId="PlaceholderText">
    <w:name w:val="Placeholder Text"/>
    <w:basedOn w:val="DefaultParagraphFont"/>
    <w:uiPriority w:val="99"/>
    <w:semiHidden/>
    <w:rsid w:val="001F1D25"/>
    <w:rPr>
      <w:color w:val="808080"/>
    </w:rPr>
  </w:style>
  <w:style w:type="paragraph" w:customStyle="1" w:styleId="TextBoxHeader">
    <w:name w:val="Text Box Header"/>
    <w:basedOn w:val="Normal"/>
    <w:qFormat/>
    <w:rsid w:val="001F7071"/>
    <w:rPr>
      <w:rFonts w:asciiTheme="majorHAnsi" w:hAnsiTheme="majorHAnsi"/>
      <w:b/>
      <w:color w:val="D57500" w:themeColor="text2"/>
      <w:sz w:val="28"/>
    </w:rPr>
  </w:style>
  <w:style w:type="table" w:customStyle="1" w:styleId="PNNLSingleHeaderRowFootnote">
    <w:name w:val="PNNL_Single_Header_Row_Footnote"/>
    <w:basedOn w:val="TableNormal"/>
    <w:uiPriority w:val="99"/>
    <w:rsid w:val="00FC204B"/>
    <w:rPr>
      <w:rFonts w:asciiTheme="minorHAnsi" w:hAnsiTheme="minorHAnsi"/>
      <w:sz w:val="20"/>
    </w:rPr>
    <w:tblPr>
      <w:tblStyleRowBandSize w:val="1"/>
      <w:jc w:val="center"/>
      <w:tblBorders>
        <w:bottom w:val="single" w:sz="8" w:space="0" w:color="D57500" w:themeColor="text2"/>
      </w:tblBorders>
      <w:tblCellMar>
        <w:top w:w="29" w:type="dxa"/>
        <w:left w:w="58" w:type="dxa"/>
        <w:bottom w:w="29" w:type="dxa"/>
        <w:right w:w="58" w:type="dxa"/>
      </w:tblCellMar>
    </w:tblPr>
    <w:trPr>
      <w:jc w:val="center"/>
    </w:tr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Theme="minorHAnsi" w:hAnsiTheme="minorHAnsi"/>
        <w:b w:val="0"/>
        <w:sz w:val="20"/>
      </w:rPr>
      <w:tblPr/>
      <w:tcPr>
        <w:tcBorders>
          <w:top w:val="single" w:sz="8" w:space="0" w:color="D57500" w:themeColor="text2"/>
          <w:left w:val="nil"/>
          <w:bottom w:val="single" w:sz="8" w:space="0" w:color="D57500" w:themeColor="text2"/>
          <w:right w:val="nil"/>
          <w:insideH w:val="nil"/>
          <w:insideV w:val="nil"/>
          <w:tl2br w:val="nil"/>
          <w:tr2bl w:val="nil"/>
        </w:tcBorders>
        <w:vAlign w:val="bottom"/>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tcBorders>
          <w:top w:val="single" w:sz="8" w:space="0" w:color="D57500" w:themeColor="text2"/>
        </w:tcBorders>
        <w:shd w:val="clear" w:color="auto" w:fill="auto"/>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shd w:val="clear" w:color="auto" w:fill="D9D9D9" w:themeFill="background1" w:themeFillShade="D9"/>
      </w:tcPr>
    </w:tblStylePr>
  </w:style>
  <w:style w:type="table" w:customStyle="1" w:styleId="PNNLSolidHeaderRow">
    <w:name w:val="PNNL_Solid_Header_Row"/>
    <w:basedOn w:val="PNNLSingleHeaderRowFootnote"/>
    <w:uiPriority w:val="99"/>
    <w:rsid w:val="00FC204B"/>
    <w:rPr>
      <w:color w:val="000000"/>
    </w:rPr>
    <w:tblPr>
      <w:tblStyleColBandSize w:val="1"/>
      <w:tblBorders>
        <w:bottom w:val="single" w:sz="4" w:space="0" w:color="auto"/>
      </w:tblBorders>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D57500" w:themeFill="text2"/>
        <w:vAlign w:val="bottom"/>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shd w:val="clear" w:color="auto" w:fill="D9D9D9" w:themeFill="background1" w:themeFillShade="D9"/>
      </w:tcPr>
    </w:tblStylePr>
  </w:style>
  <w:style w:type="paragraph" w:styleId="NoSpacing">
    <w:name w:val="No Spacing"/>
    <w:link w:val="NoSpacingChar"/>
    <w:uiPriority w:val="1"/>
    <w:qFormat/>
    <w:rsid w:val="00586E5F"/>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586E5F"/>
    <w:rPr>
      <w:rFonts w:asciiTheme="minorHAnsi" w:eastAsiaTheme="minorEastAsia" w:hAnsiTheme="minorHAnsi" w:cstheme="minorBidi"/>
    </w:rPr>
  </w:style>
  <w:style w:type="paragraph" w:customStyle="1" w:styleId="disclaimer">
    <w:name w:val="disclaimer"/>
    <w:basedOn w:val="Normal"/>
    <w:qFormat/>
    <w:rsid w:val="00D61CDA"/>
    <w:pPr>
      <w:autoSpaceDE w:val="0"/>
      <w:autoSpaceDN w:val="0"/>
      <w:adjustRightInd w:val="0"/>
      <w:spacing w:before="240"/>
      <w:ind w:left="1440" w:right="1440"/>
      <w:jc w:val="both"/>
    </w:pPr>
    <w:rPr>
      <w:color w:val="000000"/>
      <w:sz w:val="20"/>
      <w:szCs w:val="20"/>
    </w:rPr>
  </w:style>
  <w:style w:type="paragraph" w:customStyle="1" w:styleId="reference">
    <w:name w:val="reference"/>
    <w:basedOn w:val="BodyText"/>
    <w:link w:val="referenceChar"/>
    <w:qFormat/>
    <w:rsid w:val="006022C1"/>
  </w:style>
  <w:style w:type="character" w:styleId="UnresolvedMention">
    <w:name w:val="Unresolved Mention"/>
    <w:basedOn w:val="DefaultParagraphFont"/>
    <w:uiPriority w:val="99"/>
    <w:semiHidden/>
    <w:unhideWhenUsed/>
    <w:rsid w:val="006022C1"/>
    <w:rPr>
      <w:color w:val="808080"/>
      <w:shd w:val="clear" w:color="auto" w:fill="E6E6E6"/>
    </w:rPr>
  </w:style>
  <w:style w:type="character" w:customStyle="1" w:styleId="referenceChar">
    <w:name w:val="reference Char"/>
    <w:basedOn w:val="BodyTextChar"/>
    <w:link w:val="reference"/>
    <w:rsid w:val="00A24659"/>
    <w:rPr>
      <w:rFonts w:asciiTheme="minorHAnsi" w:eastAsiaTheme="minorHAnsi" w:hAnsiTheme="minorHAnsi" w:cstheme="minorBidi"/>
    </w:rPr>
  </w:style>
  <w:style w:type="paragraph" w:customStyle="1" w:styleId="CoverImage">
    <w:name w:val="CoverImage"/>
    <w:basedOn w:val="Normal"/>
    <w:qFormat/>
    <w:rsid w:val="00863E19"/>
    <w:pPr>
      <w:ind w:left="-1440" w:right="-1440"/>
    </w:pPr>
    <w:rPr>
      <w:noProof/>
    </w:rPr>
  </w:style>
  <w:style w:type="paragraph" w:customStyle="1" w:styleId="PNNLCoverContract">
    <w:name w:val="PNNL_Cover_Contract"/>
    <w:basedOn w:val="CoverImage"/>
    <w:qFormat/>
    <w:rsid w:val="0091430F"/>
    <w:pPr>
      <w:ind w:left="0" w:right="0"/>
    </w:pPr>
    <w:rPr>
      <w:sz w:val="14"/>
      <w:szCs w:val="14"/>
    </w:rPr>
  </w:style>
  <w:style w:type="paragraph" w:customStyle="1" w:styleId="PNNLCoverDate">
    <w:name w:val="PNNL_Cover_Date"/>
    <w:basedOn w:val="Normal"/>
    <w:qFormat/>
    <w:rsid w:val="0091430F"/>
    <w:pPr>
      <w:tabs>
        <w:tab w:val="center" w:pos="5400"/>
      </w:tabs>
      <w:spacing w:before="240" w:after="520"/>
    </w:pPr>
    <w:rPr>
      <w:rFonts w:asciiTheme="majorHAnsi" w:eastAsiaTheme="minorEastAsia" w:hAnsiTheme="majorHAnsi"/>
      <w:sz w:val="36"/>
      <w:szCs w:val="24"/>
    </w:rPr>
  </w:style>
  <w:style w:type="paragraph" w:customStyle="1" w:styleId="PNNLCoverSubtitle">
    <w:name w:val="PNNL_Cover_Subtitle"/>
    <w:basedOn w:val="Normal"/>
    <w:qFormat/>
    <w:rsid w:val="0091430F"/>
    <w:pPr>
      <w:tabs>
        <w:tab w:val="left" w:pos="2700"/>
      </w:tabs>
      <w:spacing w:before="240" w:after="240"/>
    </w:pPr>
    <w:rPr>
      <w:rFonts w:asciiTheme="majorHAnsi" w:eastAsiaTheme="minorEastAsia" w:hAnsiTheme="majorHAnsi"/>
      <w:sz w:val="40"/>
      <w:szCs w:val="24"/>
    </w:rPr>
  </w:style>
  <w:style w:type="paragraph" w:customStyle="1" w:styleId="PNNLCoverTitle">
    <w:name w:val="PNNL_Cover_Title"/>
    <w:qFormat/>
    <w:rsid w:val="00E74A07"/>
    <w:rPr>
      <w:rFonts w:asciiTheme="majorHAnsi" w:hAnsiTheme="majorHAnsi" w:cs="Arial"/>
      <w:b/>
      <w:color w:val="D57500" w:themeColor="text2"/>
      <w:sz w:val="56"/>
      <w:szCs w:val="70"/>
    </w:rPr>
  </w:style>
  <w:style w:type="paragraph" w:customStyle="1" w:styleId="PNNLCoverNumber">
    <w:name w:val="PNNL_Cover_Number"/>
    <w:basedOn w:val="Normal"/>
    <w:qFormat/>
    <w:rsid w:val="0091430F"/>
    <w:pPr>
      <w:jc w:val="center"/>
    </w:pPr>
    <w:rPr>
      <w:rFonts w:ascii="Arial Narrow" w:hAnsi="Arial Narrow"/>
      <w:sz w:val="18"/>
    </w:rPr>
  </w:style>
  <w:style w:type="paragraph" w:customStyle="1" w:styleId="PNNLCoverAuthors">
    <w:name w:val="PNNL_Cover_Authors"/>
    <w:basedOn w:val="Normal"/>
    <w:qFormat/>
    <w:rsid w:val="0091430F"/>
    <w:pPr>
      <w:tabs>
        <w:tab w:val="left" w:pos="2160"/>
        <w:tab w:val="left" w:pos="4680"/>
      </w:tabs>
      <w:spacing w:line="264" w:lineRule="auto"/>
    </w:pPr>
    <w:rPr>
      <w:rFonts w:asciiTheme="majorHAnsi" w:eastAsiaTheme="minorEastAsia" w:hAnsiTheme="majorHAnsi"/>
      <w:sz w:val="28"/>
      <w:szCs w:val="24"/>
    </w:rPr>
  </w:style>
  <w:style w:type="paragraph" w:customStyle="1" w:styleId="PNNLCoverImage">
    <w:name w:val="PNNL_Cover_Image"/>
    <w:basedOn w:val="Normal"/>
    <w:qFormat/>
    <w:rsid w:val="00DA04B8"/>
    <w:pPr>
      <w:ind w:left="-1440" w:right="-1440"/>
    </w:pPr>
    <w:rPr>
      <w:noProof/>
    </w:rPr>
  </w:style>
  <w:style w:type="paragraph" w:customStyle="1" w:styleId="PNNLBackCover">
    <w:name w:val="PNNL_Back_Cover"/>
    <w:basedOn w:val="Normal"/>
    <w:uiPriority w:val="99"/>
    <w:qFormat/>
    <w:rsid w:val="0091430F"/>
    <w:pPr>
      <w:spacing w:after="240"/>
      <w:ind w:left="-630"/>
    </w:pPr>
    <w:rPr>
      <w:rFonts w:asciiTheme="majorHAnsi" w:hAnsiTheme="majorHAnsi"/>
      <w:b/>
      <w:noProof/>
      <w:sz w:val="40"/>
      <w:szCs w:val="26"/>
    </w:rPr>
  </w:style>
  <w:style w:type="paragraph" w:customStyle="1" w:styleId="PNNLBackCoverAddress">
    <w:name w:val="PNNL_Back_Cover_Address"/>
    <w:basedOn w:val="Normal"/>
    <w:uiPriority w:val="99"/>
    <w:qFormat/>
    <w:rsid w:val="0091430F"/>
    <w:pPr>
      <w:spacing w:line="288" w:lineRule="auto"/>
      <w:ind w:left="-630"/>
    </w:pPr>
    <w:rPr>
      <w:noProof/>
    </w:rPr>
  </w:style>
  <w:style w:type="paragraph" w:customStyle="1" w:styleId="PNNLBackCoverWeb">
    <w:name w:val="PNNL_Back_Cover_Web"/>
    <w:basedOn w:val="Normal"/>
    <w:uiPriority w:val="99"/>
    <w:qFormat/>
    <w:rsid w:val="0091430F"/>
    <w:pPr>
      <w:spacing w:before="240"/>
      <w:ind w:left="-634"/>
    </w:pPr>
  </w:style>
  <w:style w:type="paragraph" w:customStyle="1" w:styleId="CoverPNNLNumber">
    <w:name w:val="Cover_PNNL_Number"/>
    <w:basedOn w:val="Normal"/>
    <w:link w:val="CoverPNNLNumberChar"/>
    <w:qFormat/>
    <w:rsid w:val="00F4300A"/>
    <w:rPr>
      <w:rFonts w:ascii="Arial Narrow" w:hAnsi="Arial Narrow"/>
      <w:sz w:val="18"/>
    </w:rPr>
  </w:style>
  <w:style w:type="character" w:customStyle="1" w:styleId="CoverPNNLNumberChar">
    <w:name w:val="Cover_PNNL_Number Char"/>
    <w:basedOn w:val="DefaultParagraphFont"/>
    <w:link w:val="CoverPNNLNumber"/>
    <w:rsid w:val="00F4300A"/>
    <w:rPr>
      <w:rFonts w:ascii="Arial Narrow" w:hAnsi="Arial Narrow"/>
      <w:sz w:val="18"/>
    </w:rPr>
  </w:style>
  <w:style w:type="table" w:customStyle="1" w:styleId="PNNLClassic">
    <w:name w:val="PNNL_Classic"/>
    <w:basedOn w:val="TableNormal"/>
    <w:uiPriority w:val="99"/>
    <w:rsid w:val="002649C4"/>
    <w:rPr>
      <w:sz w:val="20"/>
    </w:rPr>
    <w:tblPr>
      <w:tblStyleRowBandSize w:val="1"/>
      <w:jc w:val="center"/>
      <w:tblBorders>
        <w:top w:val="single" w:sz="4" w:space="0" w:color="auto"/>
        <w:bottom w:val="single" w:sz="4" w:space="0" w:color="auto"/>
      </w:tblBorders>
      <w:tblCellMar>
        <w:top w:w="29" w:type="dxa"/>
        <w:left w:w="58" w:type="dxa"/>
        <w:bottom w:w="29" w:type="dxa"/>
        <w:right w:w="58" w:type="dxa"/>
      </w:tblCellMar>
    </w:tblPr>
    <w:trPr>
      <w:jc w:val="center"/>
    </w:trPr>
    <w:tblStylePr w:type="firstRow">
      <w:pPr>
        <w:jc w:val="center"/>
      </w:pPr>
      <w:rPr>
        <w:rFonts w:asciiTheme="minorHAnsi" w:hAnsiTheme="minorHAnsi"/>
        <w:sz w:val="20"/>
      </w:rPr>
      <w:tblPr/>
      <w:tcPr>
        <w:tcBorders>
          <w:top w:val="single" w:sz="4" w:space="0" w:color="auto"/>
          <w:bottom w:val="single" w:sz="4" w:space="0" w:color="auto"/>
        </w:tcBorders>
        <w:vAlign w:val="bottom"/>
      </w:tcPr>
    </w:tblStylePr>
    <w:tblStylePr w:type="lastRow">
      <w:tblPr/>
      <w:tcPr>
        <w:tcBorders>
          <w:top w:val="single" w:sz="4" w:space="0" w:color="auto"/>
        </w:tcBorders>
      </w:tcPr>
    </w:tblStylePr>
    <w:tblStylePr w:type="band2Horz">
      <w:tblPr/>
      <w:tcPr>
        <w:shd w:val="clear" w:color="auto" w:fill="D9D9D9" w:themeFill="background1" w:themeFillShade="D9"/>
      </w:tcPr>
    </w:tblStylePr>
  </w:style>
  <w:style w:type="paragraph" w:styleId="ListParagraph">
    <w:name w:val="List Paragraph"/>
    <w:basedOn w:val="Normal"/>
    <w:uiPriority w:val="34"/>
    <w:qFormat/>
    <w:rsid w:val="00D83231"/>
    <w:pPr>
      <w:numPr>
        <w:numId w:val="8"/>
      </w:numPr>
      <w:contextualSpacing/>
    </w:pPr>
  </w:style>
  <w:style w:type="character" w:styleId="CommentReference">
    <w:name w:val="annotation reference"/>
    <w:basedOn w:val="DefaultParagraphFont"/>
    <w:uiPriority w:val="99"/>
    <w:semiHidden/>
    <w:unhideWhenUsed/>
    <w:rsid w:val="00D83231"/>
    <w:rPr>
      <w:sz w:val="16"/>
      <w:szCs w:val="16"/>
    </w:rPr>
  </w:style>
  <w:style w:type="paragraph" w:styleId="CommentText">
    <w:name w:val="annotation text"/>
    <w:basedOn w:val="Normal"/>
    <w:link w:val="CommentTextChar"/>
    <w:uiPriority w:val="99"/>
    <w:semiHidden/>
    <w:unhideWhenUsed/>
    <w:rsid w:val="00D83231"/>
    <w:rPr>
      <w:sz w:val="20"/>
      <w:szCs w:val="20"/>
    </w:rPr>
  </w:style>
  <w:style w:type="character" w:customStyle="1" w:styleId="CommentTextChar">
    <w:name w:val="Comment Text Char"/>
    <w:basedOn w:val="DefaultParagraphFont"/>
    <w:link w:val="CommentText"/>
    <w:uiPriority w:val="99"/>
    <w:semiHidden/>
    <w:rsid w:val="00D83231"/>
    <w:rPr>
      <w:rFonts w:ascii="Times New Roman" w:eastAsiaTheme="minorHAnsi" w:hAnsi="Times New Roman" w:cstheme="minorBidi"/>
      <w:sz w:val="20"/>
      <w:szCs w:val="20"/>
    </w:rPr>
  </w:style>
  <w:style w:type="paragraph" w:styleId="CommentSubject">
    <w:name w:val="annotation subject"/>
    <w:basedOn w:val="CommentText"/>
    <w:next w:val="CommentText"/>
    <w:link w:val="CommentSubjectChar"/>
    <w:semiHidden/>
    <w:unhideWhenUsed/>
    <w:rsid w:val="00F56101"/>
    <w:pPr>
      <w:spacing w:line="240" w:lineRule="auto"/>
    </w:pPr>
    <w:rPr>
      <w:b/>
      <w:bCs/>
    </w:rPr>
  </w:style>
  <w:style w:type="character" w:customStyle="1" w:styleId="CommentSubjectChar">
    <w:name w:val="Comment Subject Char"/>
    <w:basedOn w:val="CommentTextChar"/>
    <w:link w:val="CommentSubject"/>
    <w:semiHidden/>
    <w:rsid w:val="00F56101"/>
    <w:rPr>
      <w:rFonts w:ascii="Times New Roman" w:eastAsiaTheme="minorHAnsi" w:hAnsi="Times New Roman" w:cstheme="minorBidi"/>
      <w:b/>
      <w:bCs/>
      <w:sz w:val="20"/>
      <w:szCs w:val="20"/>
    </w:rPr>
  </w:style>
  <w:style w:type="table" w:styleId="GridTable5Dark-Accent3">
    <w:name w:val="Grid Table 5 Dark Accent 3"/>
    <w:basedOn w:val="TableNormal"/>
    <w:uiPriority w:val="50"/>
    <w:rsid w:val="00522451"/>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AB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AB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AB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AB00" w:themeFill="accent3"/>
      </w:tcPr>
    </w:tblStylePr>
    <w:tblStylePr w:type="band1Vert">
      <w:tblPr/>
      <w:tcPr>
        <w:shd w:val="clear" w:color="auto" w:fill="FFDF93" w:themeFill="accent3" w:themeFillTint="66"/>
      </w:tcPr>
    </w:tblStylePr>
    <w:tblStylePr w:type="band1Horz">
      <w:tblPr/>
      <w:tcPr>
        <w:shd w:val="clear" w:color="auto" w:fill="FFDF93"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ccsafe.org/products-and-services/i-codes/2018-i-codes/igc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odes.iccsafe.org/content/iecc2018" TargetMode="External"/><Relationship Id="rId2" Type="http://schemas.openxmlformats.org/officeDocument/2006/relationships/customXml" Target="../customXml/item2.xml"/><Relationship Id="rId16" Type="http://schemas.openxmlformats.org/officeDocument/2006/relationships/hyperlink" Target="https://ec.europa.eu/oib/pdf/mit-standard-building-specs_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nergy.ca.gov/programs-and-topics/programs/building-energy-efficiency-standards/2019-building-energy-efficien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shrae.org/technical-resources/bookstore/standard-90-1"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NNL\Office\Templates\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EFF36D3DB40DA877C5E6C13C3049B"/>
        <w:category>
          <w:name w:val="General"/>
          <w:gallery w:val="placeholder"/>
        </w:category>
        <w:types>
          <w:type w:val="bbPlcHdr"/>
        </w:types>
        <w:behaviors>
          <w:behavior w:val="content"/>
        </w:behaviors>
        <w:guid w:val="{F92CDB16-F8B5-4975-8520-4D6781F3DCEC}"/>
      </w:docPartPr>
      <w:docPartBody>
        <w:p w:rsidR="006049A3" w:rsidRDefault="0017154A">
          <w:pPr>
            <w:pStyle w:val="9DBEFF36D3DB40DA877C5E6C13C3049B"/>
          </w:pPr>
          <w:r w:rsidRPr="001E62C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3"/>
    <w:rsid w:val="000F5A73"/>
    <w:rsid w:val="0017154A"/>
    <w:rsid w:val="004C77FC"/>
    <w:rsid w:val="00563CB4"/>
    <w:rsid w:val="006049A3"/>
    <w:rsid w:val="007B6BA1"/>
    <w:rsid w:val="009E357E"/>
    <w:rsid w:val="00C4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00FF"/>
      <w:u w:val="single"/>
    </w:rPr>
  </w:style>
  <w:style w:type="paragraph" w:customStyle="1" w:styleId="9DBEFF36D3DB40DA877C5E6C13C3049B">
    <w:name w:val="9DBEFF36D3DB40DA877C5E6C13C30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NNL">
  <a:themeElements>
    <a:clrScheme name="PNNL Brand Theme 2">
      <a:dk1>
        <a:srgbClr val="707276"/>
      </a:dk1>
      <a:lt1>
        <a:srgbClr val="FFFFFF"/>
      </a:lt1>
      <a:dk2>
        <a:srgbClr val="D57500"/>
      </a:dk2>
      <a:lt2>
        <a:srgbClr val="B2B3B5"/>
      </a:lt2>
      <a:accent1>
        <a:srgbClr val="A83C0F"/>
      </a:accent1>
      <a:accent2>
        <a:srgbClr val="242424"/>
      </a:accent2>
      <a:accent3>
        <a:srgbClr val="F1AB00"/>
      </a:accent3>
      <a:accent4>
        <a:srgbClr val="007229"/>
      </a:accent4>
      <a:accent5>
        <a:srgbClr val="C10435"/>
      </a:accent5>
      <a:accent6>
        <a:srgbClr val="007FAC"/>
      </a:accent6>
      <a:hlink>
        <a:srgbClr val="003698"/>
      </a:hlink>
      <a:folHlink>
        <a:srgbClr val="8A0752"/>
      </a:folHlink>
    </a:clrScheme>
    <a:fontScheme name="PNNL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612D56D8FEF429FF08DBD05A11435" ma:contentTypeVersion="8" ma:contentTypeDescription="Create a new document." ma:contentTypeScope="" ma:versionID="7b8495167fc335b5c64fbf047531a2fb">
  <xsd:schema xmlns:xsd="http://www.w3.org/2001/XMLSchema" xmlns:xs="http://www.w3.org/2001/XMLSchema" xmlns:p="http://schemas.microsoft.com/office/2006/metadata/properties" xmlns:ns3="ae8cb991-6de7-4519-9ceb-ac92e1d16292" targetNamespace="http://schemas.microsoft.com/office/2006/metadata/properties" ma:root="true" ma:fieldsID="a07b2cf22a6b58d6ae75a2ee11946bbe" ns3:_="">
    <xsd:import namespace="ae8cb991-6de7-4519-9ceb-ac92e1d162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cb991-6de7-4519-9ceb-ac92e1d16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rojectDoc xmlns="PNNL_Template">
  <PNNL_Template>
    <PNNL_Content_Controls>
      <PNNL_Contract>Prepared for and Contract</PNNL_Contract>
      <PNNL_Designation/>
      <PNNL_Title>Enter Title Here</PNNL_Title>
      <PNNL_Subtitle>Enter Subtitle Here (or delete)</PNNL_Subtitle>
      <PNNL_Date>Publish Date (Month Year)</PNNL_Date>
      <PNNL_Authors>1First M Last 
2First M Last
3First M Last
4First M Last
</PNNL_Authors>
      <PNNL_Number>PNNL-XXXXX</PNNL_Number>
    </PNNL_Content_Controls>
  </PNNL_Template>
</projectDoc>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D094FB-A794-491B-A6C7-880B6AFA9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29F1B-1015-45FE-B5A5-E9D9ABDC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cb991-6de7-4519-9ceb-ac92e1d1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A6667-4E79-4FAF-B786-E198C79F233C}">
  <ds:schemaRefs>
    <ds:schemaRef ds:uri="http://schemas.openxmlformats.org/officeDocument/2006/bibliography"/>
  </ds:schemaRefs>
</ds:datastoreItem>
</file>

<file path=customXml/itemProps5.xml><?xml version="1.0" encoding="utf-8"?>
<ds:datastoreItem xmlns:ds="http://schemas.openxmlformats.org/officeDocument/2006/customXml" ds:itemID="{02D18313-9A4D-4C49-BBB5-7012767DE606}">
  <ds:schemaRefs>
    <ds:schemaRef ds:uri="PNNL_Template"/>
  </ds:schemaRefs>
</ds:datastoreItem>
</file>

<file path=customXml/itemProps6.xml><?xml version="1.0" encoding="utf-8"?>
<ds:datastoreItem xmlns:ds="http://schemas.openxmlformats.org/officeDocument/2006/customXml" ds:itemID="{57AFD3FA-79EE-4AF8-A72B-55EE7C542571}">
  <ds:schemaRefs>
    <ds:schemaRef ds:uri="http://schemas.microsoft.com/office/2006/customDocumentInformationPanel"/>
  </ds:schemaRefs>
</ds:datastoreItem>
</file>

<file path=customXml/itemProps7.xml><?xml version="1.0" encoding="utf-8"?>
<ds:datastoreItem xmlns:ds="http://schemas.openxmlformats.org/officeDocument/2006/customXml" ds:itemID="{836CEE21-E137-4DA1-AE6F-014D78A53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Template>
  <TotalTime>31</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Pacific Northwest National Laboratory</Company>
  <LinksUpToDate>false</LinksUpToDate>
  <CharactersWithSpaces>6666</CharactersWithSpaces>
  <SharedDoc>false</SharedDoc>
  <HLinks>
    <vt:vector size="54" baseType="variant">
      <vt:variant>
        <vt:i4>1114165</vt:i4>
      </vt:variant>
      <vt:variant>
        <vt:i4>41</vt:i4>
      </vt:variant>
      <vt:variant>
        <vt:i4>0</vt:i4>
      </vt:variant>
      <vt:variant>
        <vt:i4>5</vt:i4>
      </vt:variant>
      <vt:variant>
        <vt:lpwstr/>
      </vt:variant>
      <vt:variant>
        <vt:lpwstr>_Toc195079668</vt:lpwstr>
      </vt:variant>
      <vt:variant>
        <vt:i4>1114165</vt:i4>
      </vt:variant>
      <vt:variant>
        <vt:i4>35</vt:i4>
      </vt:variant>
      <vt:variant>
        <vt:i4>0</vt:i4>
      </vt:variant>
      <vt:variant>
        <vt:i4>5</vt:i4>
      </vt:variant>
      <vt:variant>
        <vt:lpwstr/>
      </vt:variant>
      <vt:variant>
        <vt:lpwstr>_Toc195079667</vt:lpwstr>
      </vt:variant>
      <vt:variant>
        <vt:i4>1114165</vt:i4>
      </vt:variant>
      <vt:variant>
        <vt:i4>29</vt:i4>
      </vt:variant>
      <vt:variant>
        <vt:i4>0</vt:i4>
      </vt:variant>
      <vt:variant>
        <vt:i4>5</vt:i4>
      </vt:variant>
      <vt:variant>
        <vt:lpwstr/>
      </vt:variant>
      <vt:variant>
        <vt:lpwstr>_Toc195079666</vt:lpwstr>
      </vt:variant>
      <vt:variant>
        <vt:i4>1114165</vt:i4>
      </vt:variant>
      <vt:variant>
        <vt:i4>23</vt:i4>
      </vt:variant>
      <vt:variant>
        <vt:i4>0</vt:i4>
      </vt:variant>
      <vt:variant>
        <vt:i4>5</vt:i4>
      </vt:variant>
      <vt:variant>
        <vt:lpwstr/>
      </vt:variant>
      <vt:variant>
        <vt:lpwstr>_Toc195079665</vt:lpwstr>
      </vt:variant>
      <vt:variant>
        <vt:i4>1114165</vt:i4>
      </vt:variant>
      <vt:variant>
        <vt:i4>17</vt:i4>
      </vt:variant>
      <vt:variant>
        <vt:i4>0</vt:i4>
      </vt:variant>
      <vt:variant>
        <vt:i4>5</vt:i4>
      </vt:variant>
      <vt:variant>
        <vt:lpwstr/>
      </vt:variant>
      <vt:variant>
        <vt:lpwstr>_Toc195079664</vt:lpwstr>
      </vt:variant>
      <vt:variant>
        <vt:i4>1114165</vt:i4>
      </vt:variant>
      <vt:variant>
        <vt:i4>11</vt:i4>
      </vt:variant>
      <vt:variant>
        <vt:i4>0</vt:i4>
      </vt:variant>
      <vt:variant>
        <vt:i4>5</vt:i4>
      </vt:variant>
      <vt:variant>
        <vt:lpwstr/>
      </vt:variant>
      <vt:variant>
        <vt:lpwstr>_Toc195079663</vt:lpwstr>
      </vt:variant>
      <vt:variant>
        <vt:i4>262169</vt:i4>
      </vt:variant>
      <vt:variant>
        <vt:i4>6</vt:i4>
      </vt:variant>
      <vt:variant>
        <vt:i4>0</vt:i4>
      </vt:variant>
      <vt:variant>
        <vt:i4>5</vt:i4>
      </vt:variant>
      <vt:variant>
        <vt:lpwstr>http://sbms.pnl.gov/standard/85/8504e050.pdf</vt:lpwstr>
      </vt:variant>
      <vt:variant>
        <vt:lpwstr/>
      </vt:variant>
      <vt:variant>
        <vt:i4>262174</vt:i4>
      </vt:variant>
      <vt:variant>
        <vt:i4>3</vt:i4>
      </vt:variant>
      <vt:variant>
        <vt:i4>0</vt:i4>
      </vt:variant>
      <vt:variant>
        <vt:i4>5</vt:i4>
      </vt:variant>
      <vt:variant>
        <vt:lpwstr>http://sbms.pnl.gov/standard/85/8504e020.pdf</vt:lpwstr>
      </vt:variant>
      <vt:variant>
        <vt:lpwstr/>
      </vt:variant>
      <vt:variant>
        <vt:i4>262175</vt:i4>
      </vt:variant>
      <vt:variant>
        <vt:i4>0</vt:i4>
      </vt:variant>
      <vt:variant>
        <vt:i4>0</vt:i4>
      </vt:variant>
      <vt:variant>
        <vt:i4>5</vt:i4>
      </vt:variant>
      <vt:variant>
        <vt:lpwstr>http://sbms.pnl.gov/standard/85/8504e030.pdf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Heather Culley</dc:creator>
  <cp:lastModifiedBy>Rodriguez-Feo Bermudez, Eduardo</cp:lastModifiedBy>
  <cp:revision>16</cp:revision>
  <cp:lastPrinted>2018-11-14T21:02:00Z</cp:lastPrinted>
  <dcterms:created xsi:type="dcterms:W3CDTF">2020-09-24T14:22:00Z</dcterms:created>
  <dcterms:modified xsi:type="dcterms:W3CDTF">2024-08-20T21:11:00Z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0x010100F8B612D56D8FEF429FF08DBD05A11435</vt:lpwstr>
  </property>
  <property fmtid="{D5CDD505-2E9C-101B-9397-08002B2CF9AE}" pid="3" name="PNNLNumber" linkTarget="PNNLNumber">
    <vt:lpwstr>PNNL-XXXXX</vt:lpwstr>
  </property>
</Properties>
</file>