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03A" w:rsidP="0053303A" w:rsidRDefault="0053303A" w14:paraId="1BC91749" w14:textId="77777777">
      <w:pPr>
        <w:spacing w:line="254" w:lineRule="auto"/>
      </w:pPr>
      <w:r w:rsidRPr="51C7D1FC">
        <w:rPr>
          <w:rFonts w:ascii="Calibri" w:hAnsi="Calibri" w:eastAsia="Calibri" w:cs="Calibri"/>
          <w:b/>
          <w:bCs/>
        </w:rPr>
        <w:t>Building Science Education Solution Center – Introduction to Heat Pump Water Heaters</w:t>
      </w:r>
    </w:p>
    <w:p w:rsidR="0053303A" w:rsidP="0053303A" w:rsidRDefault="0053303A" w14:paraId="0C8F01B2" w14:textId="77777777">
      <w:pPr>
        <w:spacing w:line="254" w:lineRule="auto"/>
      </w:pPr>
      <w:r w:rsidRPr="51C7D1FC">
        <w:rPr>
          <w:rFonts w:ascii="Calibri" w:hAnsi="Calibri" w:eastAsia="Calibri" w:cs="Calibri"/>
          <w:b/>
          <w:bCs/>
        </w:rPr>
        <w:t xml:space="preserve"> </w:t>
      </w:r>
    </w:p>
    <w:p w:rsidR="0053303A" w:rsidP="0053303A" w:rsidRDefault="0053303A" w14:paraId="6540C9A7" w14:textId="7D025546">
      <w:pPr>
        <w:spacing w:line="254" w:lineRule="auto"/>
      </w:pPr>
      <w:r w:rsidRPr="51C7D1FC">
        <w:rPr>
          <w:rFonts w:ascii="Calibri" w:hAnsi="Calibri" w:eastAsia="Calibri" w:cs="Calibri"/>
        </w:rPr>
        <w:t xml:space="preserve">Proficiency Level </w:t>
      </w:r>
      <w:r>
        <w:rPr>
          <w:rFonts w:ascii="Calibri" w:hAnsi="Calibri" w:eastAsia="Calibri" w:cs="Calibri"/>
        </w:rPr>
        <w:t>3</w:t>
      </w:r>
      <w:r w:rsidRPr="51C7D1FC">
        <w:rPr>
          <w:rFonts w:ascii="Calibri" w:hAnsi="Calibri" w:eastAsia="Calibri" w:cs="Calibri"/>
        </w:rPr>
        <w:t xml:space="preserve">: </w:t>
      </w:r>
      <w:r w:rsidR="00943970">
        <w:rPr>
          <w:rFonts w:ascii="Calibri" w:hAnsi="Calibri" w:eastAsia="Calibri" w:cs="Calibri"/>
        </w:rPr>
        <w:t>Apply</w:t>
      </w:r>
    </w:p>
    <w:p w:rsidR="0053303A" w:rsidP="00567C52" w:rsidRDefault="0053303A" w14:paraId="4343D181" w14:textId="77777777">
      <w:pPr>
        <w:contextualSpacing/>
        <w:rPr>
          <w:rFonts w:asciiTheme="minorHAnsi" w:hAnsiTheme="minorHAnsi"/>
        </w:rPr>
      </w:pPr>
    </w:p>
    <w:p w:rsidR="00D730A4" w:rsidP="00D730A4" w:rsidRDefault="00651044" w14:paraId="3A138F27" w14:textId="658BAB04">
      <w:pPr>
        <w:contextualSpacing/>
        <w:rPr>
          <w:rFonts w:asciiTheme="minorHAnsi" w:hAnsiTheme="minorHAnsi"/>
          <w:b/>
          <w:bCs/>
          <w:u w:val="single"/>
        </w:rPr>
      </w:pPr>
      <w:r w:rsidRPr="0053303A">
        <w:rPr>
          <w:rFonts w:asciiTheme="minorHAnsi" w:hAnsiTheme="minorHAnsi"/>
          <w:b/>
          <w:bCs/>
          <w:u w:val="single"/>
        </w:rPr>
        <w:t>Learning Objective 3.</w:t>
      </w:r>
      <w:r>
        <w:rPr>
          <w:rFonts w:asciiTheme="minorHAnsi" w:hAnsiTheme="minorHAnsi"/>
          <w:b/>
          <w:bCs/>
          <w:u w:val="single"/>
        </w:rPr>
        <w:t>1</w:t>
      </w:r>
      <w:r w:rsidRPr="0053303A">
        <w:rPr>
          <w:rFonts w:asciiTheme="minorHAnsi" w:hAnsiTheme="minorHAnsi"/>
          <w:b/>
          <w:bCs/>
          <w:u w:val="single"/>
        </w:rPr>
        <w:t xml:space="preserve">: </w:t>
      </w:r>
    </w:p>
    <w:p w:rsidRPr="00D730A4" w:rsidR="003103E0" w:rsidP="7D20B27F" w:rsidRDefault="0015716F" w14:paraId="1FFFF937" w14:textId="562B41EE">
      <w:pPr>
        <w:pStyle w:val="ListParagraph"/>
        <w:numPr>
          <w:ilvl w:val="0"/>
          <w:numId w:val="6"/>
        </w:numPr>
        <w:rPr>
          <w:rFonts w:ascii="Calibri" w:hAnsi="Calibri" w:asciiTheme="minorAscii" w:hAnsiTheme="minorAscii"/>
          <w:b w:val="1"/>
          <w:bCs w:val="1"/>
          <w:u w:val="single"/>
        </w:rPr>
      </w:pPr>
      <w:r w:rsidRPr="7D20B27F" w:rsidR="00317975">
        <w:rPr>
          <w:rFonts w:ascii="Calibri" w:hAnsi="Calibri" w:asciiTheme="minorAscii" w:hAnsiTheme="minorAscii"/>
        </w:rPr>
        <w:t>Compute</w:t>
      </w:r>
      <w:r w:rsidRPr="7D20B27F" w:rsidR="00317975">
        <w:rPr>
          <w:rFonts w:ascii="Calibri" w:hAnsi="Calibri" w:asciiTheme="minorAscii" w:hAnsiTheme="minorAscii"/>
        </w:rPr>
        <w:t xml:space="preserve"> </w:t>
      </w:r>
      <w:r w:rsidRPr="7D20B27F" w:rsidR="0015716F">
        <w:rPr>
          <w:rFonts w:ascii="Calibri" w:hAnsi="Calibri" w:asciiTheme="minorAscii" w:hAnsiTheme="minorAscii"/>
        </w:rPr>
        <w:t>calculations for</w:t>
      </w:r>
      <w:r w:rsidRPr="7D20B27F" w:rsidR="00C56A19">
        <w:rPr>
          <w:rFonts w:ascii="Calibri" w:hAnsi="Calibri" w:asciiTheme="minorAscii" w:hAnsiTheme="minorAscii"/>
        </w:rPr>
        <w:t xml:space="preserve"> </w:t>
      </w:r>
      <w:r w:rsidRPr="7D20B27F" w:rsidR="0015716F">
        <w:rPr>
          <w:rFonts w:ascii="Calibri" w:hAnsi="Calibri" w:asciiTheme="minorAscii" w:hAnsiTheme="minorAscii"/>
        </w:rPr>
        <w:t>e</w:t>
      </w:r>
      <w:r w:rsidRPr="7D20B27F" w:rsidR="00C56A19">
        <w:rPr>
          <w:rFonts w:ascii="Calibri" w:hAnsi="Calibri" w:asciiTheme="minorAscii" w:hAnsiTheme="minorAscii"/>
        </w:rPr>
        <w:t xml:space="preserve">nergy </w:t>
      </w:r>
      <w:r w:rsidRPr="7D20B27F" w:rsidR="0015716F">
        <w:rPr>
          <w:rFonts w:ascii="Calibri" w:hAnsi="Calibri" w:asciiTheme="minorAscii" w:hAnsiTheme="minorAscii"/>
        </w:rPr>
        <w:t>s</w:t>
      </w:r>
      <w:r w:rsidRPr="7D20B27F" w:rsidR="00C56A19">
        <w:rPr>
          <w:rFonts w:ascii="Calibri" w:hAnsi="Calibri" w:asciiTheme="minorAscii" w:hAnsiTheme="minorAscii"/>
        </w:rPr>
        <w:t>aving</w:t>
      </w:r>
      <w:r w:rsidRPr="7D20B27F" w:rsidR="007C7F28">
        <w:rPr>
          <w:rFonts w:ascii="Calibri" w:hAnsi="Calibri" w:asciiTheme="minorAscii" w:hAnsiTheme="minorAscii"/>
        </w:rPr>
        <w:t>s from HPWHs</w:t>
      </w:r>
    </w:p>
    <w:p w:rsidR="00142C83" w:rsidP="00142C83" w:rsidRDefault="00142C83" w14:paraId="7630ACE2" w14:textId="2AFF522B">
      <w:pPr>
        <w:spacing w:line="254" w:lineRule="auto"/>
      </w:pPr>
      <w:r w:rsidRPr="00142C83">
        <w:rPr>
          <w:rFonts w:ascii="Calibri" w:hAnsi="Calibri" w:eastAsia="Calibri" w:cs="Calibri"/>
          <w:b/>
          <w:bCs/>
          <w:u w:val="single"/>
        </w:rPr>
        <w:t xml:space="preserve">Lecture Notes </w:t>
      </w:r>
      <w:r w:rsidR="0011607F">
        <w:rPr>
          <w:rFonts w:ascii="Calibri" w:hAnsi="Calibri" w:eastAsia="Calibri" w:cs="Calibri"/>
          <w:b/>
          <w:bCs/>
          <w:u w:val="single"/>
        </w:rPr>
        <w:t>3</w:t>
      </w:r>
      <w:r w:rsidRPr="00142C83">
        <w:rPr>
          <w:rFonts w:ascii="Calibri" w:hAnsi="Calibri" w:eastAsia="Calibri" w:cs="Calibri"/>
          <w:b/>
          <w:bCs/>
          <w:u w:val="single"/>
        </w:rPr>
        <w:t>.1:</w:t>
      </w:r>
    </w:p>
    <w:sdt>
      <w:sdtPr>
        <w:id w:val="-2007810955"/>
        <w:docPartObj>
          <w:docPartGallery w:val="Bibliographies"/>
          <w:docPartUnique/>
        </w:docPartObj>
        <w:rPr>
          <w:rFonts w:ascii="Times New Roman" w:hAnsi="Times New Roman" w:eastAsia="Calibri" w:cs="" w:eastAsiaTheme="minorAscii" w:cstheme="minorBidi"/>
          <w:color w:val="auto"/>
          <w:sz w:val="22"/>
          <w:szCs w:val="22"/>
        </w:rPr>
      </w:sdtPr>
      <w:sdtEndPr>
        <w:rPr>
          <w:rFonts w:ascii="Times New Roman" w:hAnsi="Times New Roman" w:eastAsia="Calibri" w:cs="" w:eastAsiaTheme="minorAscii" w:cstheme="minorBidi"/>
          <w:color w:val="auto"/>
          <w:sz w:val="22"/>
          <w:szCs w:val="22"/>
        </w:rPr>
      </w:sdtEndPr>
      <w:sdtContent>
        <w:p w:rsidRPr="00CC36DB" w:rsidR="00CC36DB" w:rsidRDefault="00CC36DB" w14:paraId="032610E3" w14:textId="231AFDF2">
          <w:pPr>
            <w:pStyle w:val="Heading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CC36DB">
            <w:rPr>
              <w:rFonts w:asciiTheme="minorHAnsi" w:hAnsiTheme="minorHAnsi" w:cstheme="minorHAnsi"/>
              <w:color w:val="auto"/>
              <w:sz w:val="22"/>
              <w:szCs w:val="22"/>
            </w:rPr>
            <w:t>References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:</w:t>
          </w:r>
        </w:p>
        <w:sdt>
          <w:sdtPr>
            <w:id w:val="-573587230"/>
            <w:bibliography/>
          </w:sdtPr>
          <w:sdtEndPr/>
          <w:sdtContent>
            <w:p w:rsidRPr="00CC36DB" w:rsidR="00CC36DB" w:rsidP="00CC36DB" w:rsidRDefault="00CC36DB" w14:paraId="7C9708EE" w14:textId="77777777">
              <w:pPr>
                <w:pStyle w:val="Bibliography"/>
                <w:ind w:left="720" w:hanging="720"/>
                <w:rPr>
                  <w:rFonts w:asciiTheme="minorHAnsi" w:hAnsiTheme="minorHAnsi" w:cstheme="minorHAnsi"/>
                  <w:noProof/>
                  <w:sz w:val="24"/>
                  <w:szCs w:val="24"/>
                </w:rPr>
              </w:pPr>
              <w:r w:rsidRPr="00CC36DB">
                <w:rPr>
                  <w:rFonts w:asciiTheme="minorHAnsi" w:hAnsiTheme="minorHAnsi" w:cstheme="minorHAnsi"/>
                </w:rPr>
                <w:fldChar w:fldCharType="begin"/>
              </w:r>
              <w:r w:rsidRPr="00CC36DB">
                <w:rPr>
                  <w:rFonts w:asciiTheme="minorHAnsi" w:hAnsiTheme="minorHAnsi" w:cstheme="minorHAnsi"/>
                </w:rPr>
                <w:instrText xml:space="preserve"> BIBLIOGRAPHY </w:instrText>
              </w:r>
              <w:r w:rsidRPr="00CC36DB">
                <w:rPr>
                  <w:rFonts w:asciiTheme="minorHAnsi" w:hAnsiTheme="minorHAnsi" w:cstheme="minorHAnsi"/>
                </w:rPr>
                <w:fldChar w:fldCharType="separate"/>
              </w:r>
              <w:r w:rsidRPr="00CC36DB">
                <w:rPr>
                  <w:rFonts w:asciiTheme="minorHAnsi" w:hAnsiTheme="minorHAnsi" w:cstheme="minorHAnsi"/>
                  <w:noProof/>
                </w:rPr>
                <w:t xml:space="preserve">ENERGY STAR. </w:t>
              </w:r>
              <w:r w:rsidRPr="00CC36DB">
                <w:rPr>
                  <w:rFonts w:asciiTheme="minorHAnsi" w:hAnsiTheme="minorHAnsi" w:cstheme="minorHAnsi"/>
                  <w:i/>
                  <w:iCs/>
                  <w:noProof/>
                </w:rPr>
                <w:t>Energy Star Ask Experts: When Should You Replace Your Water Heater</w:t>
              </w:r>
              <w:r w:rsidRPr="00CC36DB">
                <w:rPr>
                  <w:rFonts w:asciiTheme="minorHAnsi" w:hAnsiTheme="minorHAnsi" w:cstheme="minorHAnsi"/>
                  <w:noProof/>
                </w:rPr>
                <w:t>. n.d. 2022. &lt;https://www.energystar.gov/products/ask-the-experts/when-should-you-replace-your-water-heater&gt;.</w:t>
              </w:r>
            </w:p>
            <w:p w:rsidRPr="00A044CC" w:rsidR="009F5BD0" w:rsidP="00567C52" w:rsidRDefault="00CC36DB" w14:paraId="02C7FB46" w14:textId="33AABC1E">
              <w:r w:rsidRPr="00CC36DB">
                <w:rPr>
                  <w:rFonts w:asciiTheme="minorHAnsi" w:hAnsiTheme="minorHAnsi" w:cstheme="minorHAnsi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9F5BD0" w:rsidP="0F187A18" w:rsidRDefault="00EA7ACF" w14:paraId="6660036C" w14:textId="6A97C041">
      <w:pPr>
        <w:contextualSpacing/>
        <w:rPr>
          <w:rFonts w:asciiTheme="minorHAnsi" w:hAnsiTheme="minorHAnsi"/>
        </w:rPr>
      </w:pPr>
      <w:r w:rsidRPr="0F187A18">
        <w:rPr>
          <w:rFonts w:asciiTheme="minorHAnsi" w:hAnsiTheme="minorHAnsi"/>
          <w:b/>
          <w:bCs/>
          <w:u w:val="single"/>
        </w:rPr>
        <w:t>How to Calculate Yearly Operation</w:t>
      </w:r>
      <w:r w:rsidRPr="0F187A18" w:rsidR="004F5F71">
        <w:rPr>
          <w:rFonts w:asciiTheme="minorHAnsi" w:hAnsiTheme="minorHAnsi"/>
          <w:b/>
          <w:bCs/>
          <w:u w:val="single"/>
        </w:rPr>
        <w:t>al Costs</w:t>
      </w:r>
      <w:r>
        <w:br/>
      </w:r>
      <w:r w:rsidRPr="0F187A18" w:rsidR="009F5BD0">
        <w:rPr>
          <w:rFonts w:asciiTheme="minorHAnsi" w:hAnsiTheme="minorHAnsi"/>
        </w:rPr>
        <w:t>In order to determine the economic benefits of installing a HPWH, the average annual operating cost should be considered. When comparing the average annual cost of operating a water heater, prospective buyers should consider two things</w:t>
      </w:r>
      <w:r w:rsidRPr="0F187A18" w:rsidR="002B4B5E">
        <w:rPr>
          <w:rFonts w:asciiTheme="minorHAnsi" w:hAnsiTheme="minorHAnsi"/>
        </w:rPr>
        <w:t>:</w:t>
      </w:r>
      <w:r w:rsidRPr="0F187A18" w:rsidR="009F5BD0">
        <w:rPr>
          <w:rFonts w:asciiTheme="minorHAnsi" w:hAnsiTheme="minorHAnsi"/>
        </w:rPr>
        <w:t xml:space="preserve"> </w:t>
      </w:r>
      <w:r w:rsidRPr="0F187A18" w:rsidR="008B1550">
        <w:rPr>
          <w:rFonts w:asciiTheme="minorHAnsi" w:hAnsiTheme="minorHAnsi"/>
        </w:rPr>
        <w:t xml:space="preserve">the </w:t>
      </w:r>
      <w:r w:rsidRPr="0F187A18" w:rsidR="009F5BD0">
        <w:rPr>
          <w:rFonts w:asciiTheme="minorHAnsi" w:hAnsiTheme="minorHAnsi"/>
        </w:rPr>
        <w:t>energy factor</w:t>
      </w:r>
      <w:r w:rsidRPr="0F187A18" w:rsidR="008B1550">
        <w:rPr>
          <w:rFonts w:asciiTheme="minorHAnsi" w:hAnsiTheme="minorHAnsi"/>
        </w:rPr>
        <w:t xml:space="preserve"> of the water heater</w:t>
      </w:r>
      <w:r w:rsidRPr="0F187A18" w:rsidR="009F5BD0">
        <w:rPr>
          <w:rFonts w:asciiTheme="minorHAnsi" w:hAnsiTheme="minorHAnsi"/>
        </w:rPr>
        <w:t xml:space="preserve"> and </w:t>
      </w:r>
      <w:r w:rsidRPr="0F187A18" w:rsidR="008B1550">
        <w:rPr>
          <w:rFonts w:asciiTheme="minorHAnsi" w:hAnsiTheme="minorHAnsi"/>
        </w:rPr>
        <w:t xml:space="preserve">the </w:t>
      </w:r>
      <w:r w:rsidRPr="0F187A18" w:rsidR="009F5BD0">
        <w:rPr>
          <w:rFonts w:asciiTheme="minorHAnsi" w:hAnsiTheme="minorHAnsi"/>
        </w:rPr>
        <w:t>fuel source cost</w:t>
      </w:r>
      <w:r w:rsidRPr="0F187A18" w:rsidR="008B1550">
        <w:rPr>
          <w:rFonts w:asciiTheme="minorHAnsi" w:hAnsiTheme="minorHAnsi"/>
        </w:rPr>
        <w:t xml:space="preserve"> </w:t>
      </w:r>
      <w:r w:rsidRPr="0F187A18" w:rsidR="001D5E03">
        <w:rPr>
          <w:rFonts w:asciiTheme="minorHAnsi" w:hAnsiTheme="minorHAnsi"/>
        </w:rPr>
        <w:t xml:space="preserve">powering the </w:t>
      </w:r>
      <w:r w:rsidRPr="0F187A18" w:rsidR="008B1550">
        <w:rPr>
          <w:rFonts w:asciiTheme="minorHAnsi" w:hAnsiTheme="minorHAnsi"/>
        </w:rPr>
        <w:t>water heater</w:t>
      </w:r>
      <w:r w:rsidRPr="0F187A18" w:rsidR="009F5BD0">
        <w:rPr>
          <w:rFonts w:asciiTheme="minorHAnsi" w:hAnsiTheme="minorHAnsi"/>
        </w:rPr>
        <w:t xml:space="preserve">. The higher the energy factor displayed on the yellow label is, the more efficient the water heater is. Additionally, customers should consider size and first hour rating. </w:t>
      </w:r>
      <w:r w:rsidRPr="0F187A18" w:rsidR="00350A45">
        <w:rPr>
          <w:rFonts w:asciiTheme="minorHAnsi" w:hAnsiTheme="minorHAnsi"/>
        </w:rPr>
        <w:t>To</w:t>
      </w:r>
      <w:r w:rsidRPr="0F187A18" w:rsidR="009F5BD0">
        <w:rPr>
          <w:rFonts w:asciiTheme="minorHAnsi" w:hAnsiTheme="minorHAnsi"/>
        </w:rPr>
        <w:t xml:space="preserve"> estimate the yearly cost of operating a unit, the </w:t>
      </w:r>
      <w:r w:rsidRPr="0F187A18" w:rsidR="003C796B">
        <w:rPr>
          <w:rFonts w:asciiTheme="minorHAnsi" w:hAnsiTheme="minorHAnsi"/>
        </w:rPr>
        <w:t xml:space="preserve">Uniform </w:t>
      </w:r>
      <w:r w:rsidRPr="0F187A18" w:rsidR="009F5BD0">
        <w:rPr>
          <w:rFonts w:asciiTheme="minorHAnsi" w:hAnsiTheme="minorHAnsi"/>
        </w:rPr>
        <w:t xml:space="preserve">Energy factor (displayed on the yellow energy label) is multiplied by the fuel type and current price rates (this information can be provided by local utility providers). Then the </w:t>
      </w:r>
      <w:r w:rsidRPr="0F187A18" w:rsidR="009C5EFF">
        <w:rPr>
          <w:rFonts w:asciiTheme="minorHAnsi" w:hAnsiTheme="minorHAnsi"/>
        </w:rPr>
        <w:t xml:space="preserve">total </w:t>
      </w:r>
      <w:r w:rsidRPr="0F187A18" w:rsidR="009F5BD0">
        <w:rPr>
          <w:rFonts w:asciiTheme="minorHAnsi" w:hAnsiTheme="minorHAnsi"/>
        </w:rPr>
        <w:t xml:space="preserve">cost should be extrapolated for the entirety of a year (365 days) to understand the annual cost. </w:t>
      </w:r>
      <w:r w:rsidRPr="0F187A18" w:rsidR="00160B11">
        <w:rPr>
          <w:rFonts w:asciiTheme="minorHAnsi" w:hAnsiTheme="minorHAnsi"/>
        </w:rPr>
        <w:t>A simplified form of how to determine the yearly operating cost is found in Equation 1.</w:t>
      </w:r>
    </w:p>
    <w:p w:rsidR="00160B11" w:rsidP="11391AAD" w:rsidRDefault="00160B11" w14:paraId="0A4BCEC3" w14:textId="77777777">
      <w:pPr>
        <w:contextualSpacing/>
        <w:rPr>
          <w:rFonts w:asciiTheme="minorHAnsi" w:hAnsiTheme="minorHAnsi"/>
        </w:rPr>
      </w:pPr>
    </w:p>
    <w:p w:rsidR="00160B11" w:rsidP="00160B11" w:rsidRDefault="00160B11" w14:paraId="05ABF01B" w14:textId="4C36536C">
      <w:pPr>
        <w:jc w:val="center"/>
      </w:pPr>
      <w:r>
        <w:rPr>
          <w:rFonts w:asciiTheme="minorHAnsi" w:hAnsiTheme="minorHAnsi" w:eastAsiaTheme="minorEastAsia"/>
        </w:rPr>
        <w:t xml:space="preserve">Equation 1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(Days in a Year)×(Energy Consumption in a day)</m:t>
            </m:r>
          </m:num>
          <m:den>
            <m:r>
              <w:rPr>
                <w:rFonts w:ascii="Cambria Math" w:hAnsi="Cambria Math"/>
              </w:rPr>
              <m:t>(Uniform Energy Factor)</m:t>
            </m:r>
          </m:den>
        </m:f>
        <m:r>
          <w:rPr>
            <w:rFonts w:ascii="Cambria Math" w:hAnsi="Cambria Math"/>
          </w:rPr>
          <m:t xml:space="preserve">×(Cost of Energy) </m:t>
        </m:r>
      </m:oMath>
    </w:p>
    <w:p w:rsidRPr="00211F07" w:rsidR="00160B11" w:rsidP="11391AAD" w:rsidRDefault="00160B11" w14:paraId="722161A5" w14:textId="77777777">
      <w:pPr>
        <w:contextualSpacing/>
        <w:rPr>
          <w:rFonts w:asciiTheme="minorHAnsi" w:hAnsiTheme="minorHAnsi"/>
        </w:rPr>
      </w:pPr>
    </w:p>
    <w:p w:rsidR="009F5BD0" w:rsidP="009F5BD0" w:rsidRDefault="009F5BD0" w14:paraId="0C70246C" w14:textId="77777777">
      <w:pPr>
        <w:contextualSpacing/>
        <w:rPr>
          <w:rFonts w:asciiTheme="minorHAnsi" w:hAnsiTheme="minorHAnsi"/>
        </w:rPr>
      </w:pPr>
    </w:p>
    <w:p w:rsidR="00102A4B" w:rsidP="0F187A18" w:rsidRDefault="004F5F71" w14:paraId="2D7A8752" w14:textId="4138DE4E">
      <w:pPr>
        <w:rPr>
          <w:rFonts w:asciiTheme="minorHAnsi" w:hAnsiTheme="minorHAnsi"/>
        </w:rPr>
      </w:pPr>
      <w:r w:rsidRPr="0F187A18">
        <w:rPr>
          <w:rFonts w:asciiTheme="minorHAnsi" w:hAnsiTheme="minorHAnsi"/>
          <w:b/>
          <w:bCs/>
          <w:u w:val="single"/>
        </w:rPr>
        <w:t>Calculation Examples</w:t>
      </w:r>
      <w:r>
        <w:br/>
      </w:r>
      <w:r w:rsidRPr="0F187A18" w:rsidR="009F5BD0">
        <w:rPr>
          <w:rFonts w:asciiTheme="minorHAnsi" w:hAnsiTheme="minorHAnsi"/>
        </w:rPr>
        <w:t xml:space="preserve">Below are </w:t>
      </w:r>
      <w:r w:rsidRPr="0F187A18" w:rsidR="001355A5">
        <w:rPr>
          <w:rFonts w:asciiTheme="minorHAnsi" w:hAnsiTheme="minorHAnsi"/>
        </w:rPr>
        <w:t>three</w:t>
      </w:r>
      <w:r w:rsidRPr="0F187A18" w:rsidR="009F5BD0">
        <w:rPr>
          <w:rFonts w:asciiTheme="minorHAnsi" w:hAnsiTheme="minorHAnsi"/>
        </w:rPr>
        <w:t xml:space="preserve"> examples</w:t>
      </w:r>
      <w:r w:rsidRPr="0F187A18" w:rsidR="001355A5">
        <w:rPr>
          <w:rFonts w:asciiTheme="minorHAnsi" w:hAnsiTheme="minorHAnsi"/>
        </w:rPr>
        <w:t>. These examples include</w:t>
      </w:r>
      <w:r w:rsidRPr="0F187A18" w:rsidR="009F5BD0">
        <w:rPr>
          <w:rFonts w:asciiTheme="minorHAnsi" w:hAnsiTheme="minorHAnsi"/>
        </w:rPr>
        <w:t xml:space="preserve"> gas </w:t>
      </w:r>
      <w:r w:rsidRPr="0F187A18" w:rsidR="001355A5">
        <w:rPr>
          <w:rFonts w:asciiTheme="minorHAnsi" w:hAnsiTheme="minorHAnsi"/>
        </w:rPr>
        <w:t>or</w:t>
      </w:r>
      <w:r w:rsidRPr="0F187A18" w:rsidR="009F5BD0">
        <w:rPr>
          <w:rFonts w:asciiTheme="minorHAnsi" w:hAnsiTheme="minorHAnsi"/>
        </w:rPr>
        <w:t xml:space="preserve"> oil water heaters,</w:t>
      </w:r>
      <w:r w:rsidRPr="0F187A18" w:rsidR="001355A5">
        <w:rPr>
          <w:rFonts w:asciiTheme="minorHAnsi" w:hAnsiTheme="minorHAnsi"/>
        </w:rPr>
        <w:t xml:space="preserve"> conventional</w:t>
      </w:r>
      <w:r w:rsidRPr="0F187A18" w:rsidR="009F5BD0">
        <w:rPr>
          <w:rFonts w:asciiTheme="minorHAnsi" w:hAnsiTheme="minorHAnsi"/>
        </w:rPr>
        <w:t xml:space="preserve"> electric water heater</w:t>
      </w:r>
      <w:r w:rsidRPr="0F187A18" w:rsidR="00402257">
        <w:rPr>
          <w:rFonts w:asciiTheme="minorHAnsi" w:hAnsiTheme="minorHAnsi"/>
        </w:rPr>
        <w:t>s</w:t>
      </w:r>
      <w:r w:rsidRPr="0F187A18" w:rsidR="001355A5">
        <w:rPr>
          <w:rFonts w:asciiTheme="minorHAnsi" w:hAnsiTheme="minorHAnsi"/>
        </w:rPr>
        <w:t>, and heat pump water heater</w:t>
      </w:r>
      <w:r w:rsidRPr="0F187A18" w:rsidR="00402257">
        <w:rPr>
          <w:rFonts w:asciiTheme="minorHAnsi" w:hAnsiTheme="minorHAnsi"/>
        </w:rPr>
        <w:t>s</w:t>
      </w:r>
      <w:r w:rsidRPr="0F187A18" w:rsidR="009F5BD0">
        <w:rPr>
          <w:rFonts w:asciiTheme="minorHAnsi" w:hAnsiTheme="minorHAnsi"/>
        </w:rPr>
        <w:t xml:space="preserve">. </w:t>
      </w:r>
      <w:r w:rsidRPr="0F187A18" w:rsidR="00815919">
        <w:rPr>
          <w:rFonts w:asciiTheme="minorHAnsi" w:hAnsiTheme="minorHAnsi"/>
        </w:rPr>
        <w:t xml:space="preserve">The energy usage per day in the </w:t>
      </w:r>
      <w:r w:rsidRPr="0F187A18" w:rsidR="03197382">
        <w:rPr>
          <w:rFonts w:asciiTheme="minorHAnsi" w:hAnsiTheme="minorHAnsi"/>
        </w:rPr>
        <w:t>below</w:t>
      </w:r>
      <w:r w:rsidRPr="0F187A18" w:rsidR="00815919">
        <w:rPr>
          <w:rFonts w:asciiTheme="minorHAnsi" w:hAnsiTheme="minorHAnsi"/>
        </w:rPr>
        <w:t xml:space="preserve"> equations is based on the DOE test procedure for water heaters, which assumes an incoming water temperature of 58</w:t>
      </w:r>
      <w:r w:rsidRPr="0F187A18" w:rsidR="00AE0868">
        <w:rPr>
          <w:rFonts w:asciiTheme="minorHAnsi" w:hAnsiTheme="minorHAnsi"/>
        </w:rPr>
        <w:t xml:space="preserve"> </w:t>
      </w:r>
      <w:r w:rsidRPr="0F187A18" w:rsidR="00815919">
        <w:rPr>
          <w:rFonts w:asciiTheme="minorHAnsi" w:hAnsiTheme="minorHAnsi"/>
        </w:rPr>
        <w:t>°F, hot water temperature of 135</w:t>
      </w:r>
      <w:r w:rsidRPr="0F187A18" w:rsidR="00AE0868">
        <w:rPr>
          <w:rFonts w:asciiTheme="minorHAnsi" w:hAnsiTheme="minorHAnsi"/>
        </w:rPr>
        <w:t xml:space="preserve"> </w:t>
      </w:r>
      <w:r w:rsidRPr="0F187A18" w:rsidR="00815919">
        <w:rPr>
          <w:rFonts w:asciiTheme="minorHAnsi" w:hAnsiTheme="minorHAnsi"/>
        </w:rPr>
        <w:t>°F, and total hot water production of 64.3 gallons per day, which is the average usage for a household size of three people</w:t>
      </w:r>
      <w:r w:rsidRPr="0F187A18" w:rsidR="006C202E">
        <w:rPr>
          <w:rFonts w:asciiTheme="minorHAnsi" w:hAnsiTheme="minorHAnsi"/>
        </w:rPr>
        <w:t>.</w:t>
      </w:r>
      <w:r w:rsidRPr="0F187A18" w:rsidR="00815919">
        <w:rPr>
          <w:rFonts w:asciiTheme="minorHAnsi" w:hAnsiTheme="minorHAnsi"/>
        </w:rPr>
        <w:t xml:space="preserve"> </w:t>
      </w:r>
      <w:r w:rsidRPr="0F187A18" w:rsidR="001A5CD7">
        <w:rPr>
          <w:rFonts w:asciiTheme="minorHAnsi" w:hAnsiTheme="minorHAnsi"/>
        </w:rPr>
        <w:t xml:space="preserve">This </w:t>
      </w:r>
      <w:r w:rsidRPr="0F187A18" w:rsidR="009255B9">
        <w:rPr>
          <w:rFonts w:asciiTheme="minorHAnsi" w:hAnsiTheme="minorHAnsi"/>
        </w:rPr>
        <w:t>corresponds to and average energy us of ~41,000BTU/day (0.4 therms/day, or 12.03 kWh)</w:t>
      </w:r>
    </w:p>
    <w:p w:rsidR="00815919" w:rsidP="00815919" w:rsidRDefault="00815919" w14:paraId="70812D5F" w14:textId="00D76438">
      <w:pPr>
        <w:rPr>
          <w:rFonts w:asciiTheme="minorHAnsi" w:hAnsiTheme="minorHAnsi"/>
        </w:rPr>
      </w:pPr>
      <w:r w:rsidRPr="04727803">
        <w:rPr>
          <w:rFonts w:asciiTheme="minorHAnsi" w:hAnsiTheme="minorHAnsi"/>
        </w:rPr>
        <w:t>Other items to consider as well include rebates from utility suppliers and tax-based incentives from local, state, and federal government sources. Additional research based on individual local is needed</w:t>
      </w:r>
      <w:r w:rsidR="00334939">
        <w:rPr>
          <w:rFonts w:asciiTheme="minorHAnsi" w:hAnsiTheme="minorHAnsi"/>
        </w:rPr>
        <w:t xml:space="preserve"> for the consumer to identify </w:t>
      </w:r>
      <w:r w:rsidR="00C21D60">
        <w:rPr>
          <w:rFonts w:asciiTheme="minorHAnsi" w:hAnsiTheme="minorHAnsi"/>
        </w:rPr>
        <w:t xml:space="preserve">potential </w:t>
      </w:r>
      <w:r w:rsidR="00EC10EF">
        <w:rPr>
          <w:rFonts w:asciiTheme="minorHAnsi" w:hAnsiTheme="minorHAnsi"/>
        </w:rPr>
        <w:t>rebates from incentives program.</w:t>
      </w:r>
    </w:p>
    <w:p w:rsidR="009F5BD0" w:rsidP="009F5BD0" w:rsidRDefault="009F5BD0" w14:paraId="2AACC074" w14:textId="77777777">
      <w:pPr>
        <w:contextualSpacing/>
        <w:rPr>
          <w:rFonts w:asciiTheme="minorHAnsi" w:hAnsiTheme="minorHAnsi"/>
        </w:rPr>
      </w:pPr>
    </w:p>
    <w:p w:rsidR="00AE4C87" w:rsidP="009F5BD0" w:rsidRDefault="00AE4C87" w14:paraId="715C0692" w14:textId="77777777">
      <w:pPr>
        <w:contextualSpacing/>
        <w:jc w:val="center"/>
        <w:rPr>
          <w:rFonts w:asciiTheme="minorHAnsi" w:hAnsiTheme="minorHAnsi"/>
          <w:b/>
          <w:bCs/>
        </w:rPr>
      </w:pPr>
    </w:p>
    <w:p w:rsidR="00AE4C87" w:rsidP="009F5BD0" w:rsidRDefault="00AE4C87" w14:paraId="0B39245A" w14:textId="77777777">
      <w:pPr>
        <w:contextualSpacing/>
        <w:jc w:val="center"/>
        <w:rPr>
          <w:rFonts w:asciiTheme="minorHAnsi" w:hAnsiTheme="minorHAnsi"/>
          <w:b/>
          <w:bCs/>
        </w:rPr>
      </w:pPr>
    </w:p>
    <w:p w:rsidR="00AE4C87" w:rsidP="009F5BD0" w:rsidRDefault="00AE4C87" w14:paraId="32F71459" w14:textId="77777777">
      <w:pPr>
        <w:contextualSpacing/>
        <w:jc w:val="center"/>
        <w:rPr>
          <w:rFonts w:asciiTheme="minorHAnsi" w:hAnsiTheme="minorHAnsi"/>
          <w:b/>
          <w:bCs/>
        </w:rPr>
      </w:pPr>
    </w:p>
    <w:p w:rsidR="00AE4C87" w:rsidP="009F5BD0" w:rsidRDefault="00AE4C87" w14:paraId="2C2F7F0F" w14:textId="77777777">
      <w:pPr>
        <w:contextualSpacing/>
        <w:jc w:val="center"/>
        <w:rPr>
          <w:rFonts w:asciiTheme="minorHAnsi" w:hAnsiTheme="minorHAnsi"/>
          <w:b/>
          <w:bCs/>
        </w:rPr>
      </w:pPr>
    </w:p>
    <w:p w:rsidR="00AE4C87" w:rsidP="004925A7" w:rsidRDefault="00AE4C87" w14:paraId="69E38747" w14:textId="77777777">
      <w:pPr>
        <w:contextualSpacing/>
        <w:rPr>
          <w:rFonts w:asciiTheme="minorHAnsi" w:hAnsiTheme="minorHAnsi"/>
          <w:b/>
          <w:bCs/>
        </w:rPr>
      </w:pPr>
    </w:p>
    <w:p w:rsidR="00AE4C87" w:rsidP="009F5BD0" w:rsidRDefault="00AE4C87" w14:paraId="4C485E70" w14:textId="77777777">
      <w:pPr>
        <w:contextualSpacing/>
        <w:jc w:val="center"/>
        <w:rPr>
          <w:rFonts w:asciiTheme="minorHAnsi" w:hAnsiTheme="minorHAnsi"/>
          <w:b/>
          <w:bCs/>
        </w:rPr>
      </w:pPr>
    </w:p>
    <w:p w:rsidRPr="002D7274" w:rsidR="009F5BD0" w:rsidP="009F5BD0" w:rsidRDefault="009F5BD0" w14:paraId="405FDFBB" w14:textId="58C9AEEB">
      <w:pPr>
        <w:contextualSpacing/>
        <w:jc w:val="center"/>
        <w:rPr>
          <w:rFonts w:asciiTheme="minorHAnsi" w:hAnsiTheme="minorHAnsi"/>
          <w:b/>
          <w:bCs/>
        </w:rPr>
      </w:pPr>
      <w:r w:rsidRPr="002D7274">
        <w:rPr>
          <w:rFonts w:asciiTheme="minorHAnsi" w:hAnsiTheme="minorHAnsi"/>
          <w:b/>
          <w:bCs/>
        </w:rPr>
        <w:t xml:space="preserve">FOR </w:t>
      </w:r>
      <w:r w:rsidR="00CA5931">
        <w:rPr>
          <w:rFonts w:asciiTheme="minorHAnsi" w:hAnsiTheme="minorHAnsi"/>
          <w:b/>
          <w:bCs/>
        </w:rPr>
        <w:t xml:space="preserve">CONVENTIONAL </w:t>
      </w:r>
      <w:r w:rsidRPr="002D7274">
        <w:rPr>
          <w:rFonts w:asciiTheme="minorHAnsi" w:hAnsiTheme="minorHAnsi"/>
          <w:b/>
          <w:bCs/>
        </w:rPr>
        <w:t>GAS AND OIL WATER HEATERS</w:t>
      </w:r>
    </w:p>
    <w:p w:rsidRPr="002D7274" w:rsidR="009F5BD0" w:rsidP="009F5BD0" w:rsidRDefault="009F5BD0" w14:paraId="3916EE9D" w14:textId="3B042A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02D7274">
        <w:rPr>
          <w:rFonts w:asciiTheme="minorHAnsi" w:hAnsiTheme="minorHAnsi"/>
        </w:rPr>
        <w:t>You need to know the unit cost of fuel</w:t>
      </w:r>
      <w:r w:rsidR="00C33D73">
        <w:rPr>
          <w:rStyle w:val="FootnoteReference"/>
          <w:rFonts w:asciiTheme="minorHAnsi" w:hAnsiTheme="minorHAnsi"/>
        </w:rPr>
        <w:footnoteReference w:id="2"/>
      </w:r>
    </w:p>
    <w:p w:rsidRPr="002D7274" w:rsidR="009F5BD0" w:rsidP="009F5BD0" w:rsidRDefault="009F5BD0" w14:paraId="3FCCC32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Pr="00EF29DA" w:rsidR="009F5BD0" w:rsidP="009F5BD0" w:rsidRDefault="007C7F28" w14:paraId="2D682310" w14:textId="321E7D1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year</m:t>
                      </m:r>
                    </m:den>
                  </m:f>
                  <m:r>
                    <w:rPr>
                      <w:rFonts w:ascii="Cambria Math" w:hAnsi="Cambria Math"/>
                    </w:rPr>
                    <m:t>×0.41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/>
                        </w:rPr>
                        <m:t>erm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UEF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Fuel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Cost</m:t>
              </m:r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$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/>
                        </w:rPr>
                        <m:t>erm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>annual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cost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of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operation</m:t>
          </m:r>
        </m:oMath>
      </m:oMathPara>
    </w:p>
    <w:p w:rsidRPr="002D7274" w:rsidR="009F5BD0" w:rsidP="009F5BD0" w:rsidRDefault="009F5BD0" w14:paraId="0F15D9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Pr="002D7274" w:rsidR="009F5BD0" w:rsidP="0F187A18" w:rsidRDefault="009F5BD0" w14:paraId="544608A6" w14:textId="70B96D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F187A18">
        <w:rPr>
          <w:rFonts w:asciiTheme="minorHAnsi" w:hAnsiTheme="minorHAnsi"/>
        </w:rPr>
        <w:t xml:space="preserve">Example: A natural gas water heater with a </w:t>
      </w:r>
      <w:r w:rsidRPr="0F187A18" w:rsidR="00294066">
        <w:rPr>
          <w:rFonts w:asciiTheme="minorHAnsi" w:hAnsiTheme="minorHAnsi"/>
        </w:rPr>
        <w:t>U</w:t>
      </w:r>
      <w:r w:rsidRPr="0F187A18">
        <w:rPr>
          <w:rFonts w:asciiTheme="minorHAnsi" w:hAnsiTheme="minorHAnsi"/>
        </w:rPr>
        <w:t xml:space="preserve">EF of </w:t>
      </w:r>
      <w:r w:rsidRPr="0F187A18" w:rsidR="00CF123C">
        <w:rPr>
          <w:rFonts w:asciiTheme="minorHAnsi" w:hAnsiTheme="minorHAnsi"/>
        </w:rPr>
        <w:t>0</w:t>
      </w:r>
      <w:r w:rsidRPr="0F187A18">
        <w:rPr>
          <w:rFonts w:asciiTheme="minorHAnsi" w:hAnsiTheme="minorHAnsi"/>
        </w:rPr>
        <w:t xml:space="preserve">.58 and a fuel cost of </w:t>
      </w:r>
      <w:r w:rsidRPr="0F187A18" w:rsidR="0092084B">
        <w:rPr>
          <w:rFonts w:asciiTheme="minorHAnsi" w:hAnsiTheme="minorHAnsi"/>
        </w:rPr>
        <w:t>$</w:t>
      </w:r>
      <w:r w:rsidRPr="0F187A18" w:rsidR="006C297C">
        <w:rPr>
          <w:rFonts w:asciiTheme="minorHAnsi" w:hAnsiTheme="minorHAnsi"/>
        </w:rPr>
        <w:t>1.82</w:t>
      </w:r>
      <w:r w:rsidRPr="0F187A18" w:rsidR="008213FA">
        <w:rPr>
          <w:rFonts w:asciiTheme="minorHAnsi" w:hAnsiTheme="minorHAnsi"/>
        </w:rPr>
        <w:t>/</w:t>
      </w:r>
      <w:r w:rsidRPr="0F187A18" w:rsidR="005D1927">
        <w:rPr>
          <w:rFonts w:asciiTheme="minorHAnsi" w:hAnsiTheme="minorHAnsi"/>
        </w:rPr>
        <w:t xml:space="preserve">therm </w:t>
      </w:r>
      <w:r w:rsidRPr="0F187A18" w:rsidR="004043EE">
        <w:rPr>
          <w:rFonts w:asciiTheme="minorHAnsi" w:hAnsiTheme="minorHAnsi"/>
          <w:vertAlign w:val="superscript"/>
        </w:rPr>
        <w:t>2</w:t>
      </w:r>
    </w:p>
    <w:p w:rsidRPr="002D7274" w:rsidR="009F5BD0" w:rsidP="009F5BD0" w:rsidRDefault="009F5BD0" w14:paraId="1DC699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="00A3633E" w:rsidP="04727803" w:rsidRDefault="007C7F28" w14:paraId="1669E353" w14:textId="268A833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year</m:t>
                      </m:r>
                    </m:den>
                  </m:f>
                  <m:r>
                    <w:rPr>
                      <w:rFonts w:ascii="Cambria Math" w:hAnsi="Cambria Math"/>
                    </w:rPr>
                    <m:t>× 0.41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/>
                        </w:rPr>
                        <m:t>erm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0.58</m:t>
              </m:r>
            </m:den>
          </m:f>
          <m:r>
            <w:rPr>
              <w:rFonts w:ascii="Cambria Math" w:hAnsi="Cambria Math"/>
            </w:rPr>
            <m:t xml:space="preserve">  ×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1.82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$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h</m:t>
                  </m:r>
                  <m:r>
                    <w:rPr>
                      <w:rFonts w:ascii="Cambria Math" w:hAnsi="Cambria Math"/>
                    </w:rPr>
                    <m:t>erm</m:t>
                  </m:r>
                </m:den>
              </m:f>
            </m:e>
          </m:d>
        </m:oMath>
      </m:oMathPara>
    </w:p>
    <w:p w:rsidRPr="002D7274" w:rsidR="009F5BD0" w:rsidP="04727803" w:rsidRDefault="00CA5931" w14:paraId="66FCA5FC" w14:textId="12CAC4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4727803">
        <w:rPr>
          <w:rFonts w:asciiTheme="minorHAnsi" w:hAnsiTheme="minorHAnsi"/>
        </w:rPr>
        <w:t xml:space="preserve"> </w:t>
      </w:r>
      <w:r w:rsidRPr="04727803" w:rsidR="009F5BD0">
        <w:rPr>
          <w:rFonts w:asciiTheme="minorHAnsi" w:hAnsiTheme="minorHAnsi"/>
        </w:rPr>
        <w:t>(</w:t>
      </w:r>
      <w:r w:rsidRPr="04727803" w:rsidR="00FF1D3D">
        <w:rPr>
          <w:rFonts w:asciiTheme="minorHAnsi" w:hAnsiTheme="minorHAnsi"/>
        </w:rPr>
        <w:t>The</w:t>
      </w:r>
      <w:r w:rsidRPr="04727803" w:rsidR="009F5BD0">
        <w:rPr>
          <w:rFonts w:asciiTheme="minorHAnsi" w:hAnsiTheme="minorHAnsi"/>
        </w:rPr>
        <w:t xml:space="preserve"> cost of natural gas on the Energy </w:t>
      </w:r>
      <w:r w:rsidRPr="04727803" w:rsidR="00111512">
        <w:rPr>
          <w:rFonts w:asciiTheme="minorHAnsi" w:hAnsiTheme="minorHAnsi"/>
        </w:rPr>
        <w:t xml:space="preserve">Label) </w:t>
      </w:r>
      <w:r w:rsidR="00111512">
        <w:t>=</w:t>
      </w:r>
      <w:r w:rsidRPr="04727803" w:rsidR="009F5BD0">
        <w:rPr>
          <w:rFonts w:asciiTheme="minorHAnsi" w:hAnsiTheme="minorHAnsi"/>
        </w:rPr>
        <w:t xml:space="preserve"> </w:t>
      </w:r>
      <w:r w:rsidRPr="04727803" w:rsidR="009F5BD0">
        <w:rPr>
          <w:rFonts w:asciiTheme="minorHAnsi" w:hAnsiTheme="minorHAnsi"/>
          <w:b/>
          <w:bCs/>
          <w:u w:val="single"/>
        </w:rPr>
        <w:t>$</w:t>
      </w:r>
      <w:r w:rsidR="00CC0922">
        <w:rPr>
          <w:rFonts w:asciiTheme="minorHAnsi" w:hAnsiTheme="minorHAnsi"/>
          <w:b/>
          <w:bCs/>
          <w:u w:val="single"/>
        </w:rPr>
        <w:t>4</w:t>
      </w:r>
      <w:r w:rsidR="00574FA0">
        <w:rPr>
          <w:rFonts w:asciiTheme="minorHAnsi" w:hAnsiTheme="minorHAnsi"/>
          <w:b/>
          <w:bCs/>
          <w:u w:val="single"/>
        </w:rPr>
        <w:t>70</w:t>
      </w:r>
      <w:r w:rsidR="00BF08DF">
        <w:rPr>
          <w:rFonts w:asciiTheme="minorHAnsi" w:hAnsiTheme="minorHAnsi"/>
          <w:b/>
          <w:bCs/>
          <w:u w:val="single"/>
        </w:rPr>
        <w:t xml:space="preserve"> </w:t>
      </w:r>
      <w:r w:rsidR="00EE5CD2">
        <w:rPr>
          <w:rFonts w:asciiTheme="minorHAnsi" w:hAnsiTheme="minorHAnsi"/>
          <w:b/>
          <w:bCs/>
          <w:u w:val="single"/>
        </w:rPr>
        <w:t>per year</w:t>
      </w:r>
    </w:p>
    <w:p w:rsidRPr="002D7274" w:rsidR="009F5BD0" w:rsidP="009F5BD0" w:rsidRDefault="009F5BD0" w14:paraId="05789B81" w14:textId="77777777">
      <w:pPr>
        <w:contextualSpacing/>
        <w:rPr>
          <w:rFonts w:asciiTheme="minorHAnsi" w:hAnsiTheme="minorHAnsi"/>
        </w:rPr>
      </w:pPr>
    </w:p>
    <w:p w:rsidRPr="002D7274" w:rsidR="009F5BD0" w:rsidP="00CA5931" w:rsidRDefault="009F5BD0" w14:paraId="7EF24700" w14:textId="5B0A7CAB">
      <w:pPr>
        <w:contextualSpacing/>
        <w:jc w:val="center"/>
        <w:rPr>
          <w:rFonts w:asciiTheme="minorHAnsi" w:hAnsiTheme="minorHAnsi"/>
          <w:b/>
          <w:bCs/>
        </w:rPr>
      </w:pPr>
      <w:r w:rsidRPr="002D7274">
        <w:rPr>
          <w:rFonts w:asciiTheme="minorHAnsi" w:hAnsiTheme="minorHAnsi"/>
          <w:b/>
          <w:bCs/>
        </w:rPr>
        <w:t xml:space="preserve">FOR </w:t>
      </w:r>
      <w:r w:rsidR="00CA5931">
        <w:rPr>
          <w:rFonts w:asciiTheme="minorHAnsi" w:hAnsiTheme="minorHAnsi"/>
          <w:b/>
          <w:bCs/>
        </w:rPr>
        <w:t xml:space="preserve">CONVENTIONAL </w:t>
      </w:r>
      <w:r w:rsidRPr="002D7274">
        <w:rPr>
          <w:rFonts w:asciiTheme="minorHAnsi" w:hAnsiTheme="minorHAnsi"/>
          <w:b/>
          <w:bCs/>
        </w:rPr>
        <w:t xml:space="preserve">ELECTRIC WATER HEATERS </w:t>
      </w:r>
    </w:p>
    <w:p w:rsidRPr="002D7274" w:rsidR="009F5BD0" w:rsidP="009F5BD0" w:rsidRDefault="009F5BD0" w14:paraId="2F9AD279" w14:textId="77777777">
      <w:pPr>
        <w:contextualSpacing/>
        <w:rPr>
          <w:rFonts w:asciiTheme="minorHAnsi" w:hAnsiTheme="minorHAnsi"/>
        </w:rPr>
      </w:pPr>
    </w:p>
    <w:p w:rsidRPr="002D7274" w:rsidR="009F5BD0" w:rsidP="009F5BD0" w:rsidRDefault="009F5BD0" w14:paraId="61892F04" w14:textId="4BA7AB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02D7274">
        <w:rPr>
          <w:rFonts w:asciiTheme="minorHAnsi" w:hAnsiTheme="minorHAnsi"/>
        </w:rPr>
        <w:t>You need to know or convert the unit cost of electricity by kilowatt-hour (kWh)</w:t>
      </w:r>
      <w:r w:rsidR="008732C8">
        <w:rPr>
          <w:rFonts w:asciiTheme="minorHAnsi" w:hAnsiTheme="minorHAnsi"/>
        </w:rPr>
        <w:t>*</w:t>
      </w:r>
      <w:r w:rsidRPr="002D7274">
        <w:rPr>
          <w:rFonts w:asciiTheme="minorHAnsi" w:hAnsiTheme="minorHAnsi"/>
        </w:rPr>
        <w:t>.</w:t>
      </w:r>
    </w:p>
    <w:p w:rsidRPr="002D7274" w:rsidR="009F5BD0" w:rsidP="009F5BD0" w:rsidRDefault="009F5BD0" w14:paraId="66DD9C1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Pr="004127A7" w:rsidR="009F5BD0" w:rsidP="009F5BD0" w:rsidRDefault="007C7F28" w14:paraId="5EBA3748" w14:textId="13B12D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year</m:t>
                      </m:r>
                    </m:den>
                  </m:f>
                  <m:r>
                    <w:rPr>
                      <w:rFonts w:ascii="Cambria Math" w:hAnsi="Cambria Math"/>
                    </w:rPr>
                    <m:t>×12.03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kW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UEF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Fuel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Cost</m:t>
              </m:r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$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kW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 xml:space="preserve"> = </m:t>
          </m:r>
          <m:r>
            <w:rPr>
              <w:rFonts w:ascii="Cambria Math" w:hAnsi="Cambria Math"/>
            </w:rPr>
            <m:t>annual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cost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of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operation</m:t>
          </m:r>
        </m:oMath>
      </m:oMathPara>
    </w:p>
    <w:p w:rsidRPr="002D7274" w:rsidR="009F5BD0" w:rsidP="009F5BD0" w:rsidRDefault="009F5BD0" w14:paraId="28E7BA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Pr="002D7274" w:rsidR="009F5BD0" w:rsidP="0F187A18" w:rsidRDefault="009F5BD0" w14:paraId="5CFB9E12" w14:textId="017E242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F187A18">
        <w:rPr>
          <w:rFonts w:asciiTheme="minorHAnsi" w:hAnsiTheme="minorHAnsi"/>
        </w:rPr>
        <w:t xml:space="preserve">Example: A </w:t>
      </w:r>
      <w:r w:rsidRPr="0F187A18" w:rsidR="00D572D4">
        <w:rPr>
          <w:rFonts w:asciiTheme="minorHAnsi" w:hAnsiTheme="minorHAnsi"/>
        </w:rPr>
        <w:t>conventional electric</w:t>
      </w:r>
      <w:r w:rsidRPr="0F187A18">
        <w:rPr>
          <w:rFonts w:asciiTheme="minorHAnsi" w:hAnsiTheme="minorHAnsi"/>
        </w:rPr>
        <w:t xml:space="preserve"> water heater with a </w:t>
      </w:r>
      <w:r w:rsidRPr="0F187A18" w:rsidR="00C42446">
        <w:rPr>
          <w:rFonts w:asciiTheme="minorHAnsi" w:hAnsiTheme="minorHAnsi"/>
        </w:rPr>
        <w:t>U</w:t>
      </w:r>
      <w:r w:rsidRPr="0F187A18">
        <w:rPr>
          <w:rFonts w:asciiTheme="minorHAnsi" w:hAnsiTheme="minorHAnsi"/>
        </w:rPr>
        <w:t xml:space="preserve">EF of </w:t>
      </w:r>
      <w:r w:rsidRPr="0F187A18" w:rsidR="00495306">
        <w:rPr>
          <w:rFonts w:asciiTheme="minorHAnsi" w:hAnsiTheme="minorHAnsi"/>
        </w:rPr>
        <w:t>1</w:t>
      </w:r>
      <w:r w:rsidRPr="0F187A18">
        <w:rPr>
          <w:rFonts w:asciiTheme="minorHAnsi" w:hAnsiTheme="minorHAnsi"/>
        </w:rPr>
        <w:t>.0</w:t>
      </w:r>
      <w:r w:rsidRPr="0F187A18" w:rsidR="00DC6895">
        <w:rPr>
          <w:rStyle w:val="CommentReference"/>
        </w:rPr>
        <w:t xml:space="preserve"> </w:t>
      </w:r>
      <w:r w:rsidRPr="0F187A18">
        <w:rPr>
          <w:rFonts w:asciiTheme="minorHAnsi" w:hAnsiTheme="minorHAnsi"/>
        </w:rPr>
        <w:t xml:space="preserve">and an electricity cost of </w:t>
      </w:r>
      <w:r w:rsidRPr="0F187A18" w:rsidR="003F498C">
        <w:rPr>
          <w:rFonts w:asciiTheme="minorHAnsi" w:hAnsiTheme="minorHAnsi"/>
        </w:rPr>
        <w:t>$0.1</w:t>
      </w:r>
      <w:r w:rsidRPr="0F187A18" w:rsidR="003D5C10">
        <w:rPr>
          <w:rFonts w:asciiTheme="minorHAnsi" w:hAnsiTheme="minorHAnsi"/>
        </w:rPr>
        <w:t>68</w:t>
      </w:r>
      <w:r w:rsidRPr="0F187A18" w:rsidR="003F498C">
        <w:rPr>
          <w:rFonts w:asciiTheme="minorHAnsi" w:hAnsiTheme="minorHAnsi"/>
        </w:rPr>
        <w:t>/kWh</w:t>
      </w:r>
      <w:r w:rsidRPr="0F187A18" w:rsidR="004043EE">
        <w:rPr>
          <w:rFonts w:asciiTheme="minorHAnsi" w:hAnsiTheme="minorHAnsi"/>
        </w:rPr>
        <w:t xml:space="preserve"> </w:t>
      </w:r>
      <w:r w:rsidRPr="0F187A18" w:rsidR="004043EE">
        <w:rPr>
          <w:rFonts w:asciiTheme="minorHAnsi" w:hAnsiTheme="minorHAnsi"/>
          <w:vertAlign w:val="superscript"/>
        </w:rPr>
        <w:t>2</w:t>
      </w:r>
    </w:p>
    <w:p w:rsidRPr="002D7274" w:rsidR="009F5BD0" w:rsidP="009F5BD0" w:rsidRDefault="009F5BD0" w14:paraId="3BEBEF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Pr="005D5A95" w:rsidR="00603815" w:rsidP="00815919" w:rsidRDefault="007C7F28" w14:paraId="67A121C8" w14:textId="123E53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year</m:t>
                      </m:r>
                    </m:den>
                  </m:f>
                  <m:r>
                    <w:rPr>
                      <w:rFonts w:ascii="Cambria Math" w:hAnsi="Cambria Math"/>
                    </w:rPr>
                    <m:t>× 12.03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kW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1.0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0.168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$</m:t>
                  </m:r>
                </m:num>
                <m:den>
                  <m:r>
                    <w:rPr>
                      <w:rFonts w:ascii="Cambria Math" w:hAnsi="Cambria Math"/>
                    </w:rPr>
                    <m:t>kW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d>
        </m:oMath>
      </m:oMathPara>
    </w:p>
    <w:p w:rsidR="00091A2B" w:rsidP="00815919" w:rsidRDefault="009F5BD0" w14:paraId="5243584D" w14:textId="7C04D8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02D7274">
        <w:rPr>
          <w:rFonts w:asciiTheme="minorHAnsi" w:hAnsiTheme="minorHAnsi"/>
        </w:rPr>
        <w:t>(</w:t>
      </w:r>
      <w:r w:rsidRPr="002D7274" w:rsidR="00FF1D3D">
        <w:rPr>
          <w:rFonts w:asciiTheme="minorHAnsi" w:hAnsiTheme="minorHAnsi"/>
        </w:rPr>
        <w:t>This</w:t>
      </w:r>
      <w:r w:rsidRPr="002D7274">
        <w:rPr>
          <w:rFonts w:asciiTheme="minorHAnsi" w:hAnsiTheme="minorHAnsi"/>
        </w:rPr>
        <w:t xml:space="preserve"> is the latest cost of electricity used on the Energy Label) = </w:t>
      </w:r>
      <w:r w:rsidR="00F72EC5">
        <w:rPr>
          <w:rFonts w:asciiTheme="minorHAnsi" w:hAnsiTheme="minorHAnsi"/>
          <w:b/>
          <w:bCs/>
          <w:u w:val="single"/>
        </w:rPr>
        <w:t>$</w:t>
      </w:r>
      <w:r w:rsidR="00ED393F">
        <w:rPr>
          <w:rFonts w:asciiTheme="minorHAnsi" w:hAnsiTheme="minorHAnsi"/>
          <w:b/>
          <w:bCs/>
          <w:u w:val="single"/>
        </w:rPr>
        <w:t>73</w:t>
      </w:r>
      <w:r w:rsidR="005B09C0">
        <w:rPr>
          <w:rFonts w:asciiTheme="minorHAnsi" w:hAnsiTheme="minorHAnsi"/>
          <w:b/>
          <w:bCs/>
          <w:u w:val="single"/>
        </w:rPr>
        <w:t>8</w:t>
      </w:r>
      <w:r w:rsidR="00F57816">
        <w:rPr>
          <w:rFonts w:asciiTheme="minorHAnsi" w:hAnsiTheme="minorHAnsi"/>
          <w:b/>
          <w:bCs/>
          <w:u w:val="single"/>
        </w:rPr>
        <w:t xml:space="preserve"> per year</w:t>
      </w:r>
    </w:p>
    <w:p w:rsidR="00091A2B" w:rsidP="00091A2B" w:rsidRDefault="00091A2B" w14:paraId="68D3C127" w14:textId="77777777">
      <w:pPr>
        <w:contextualSpacing/>
        <w:jc w:val="center"/>
        <w:rPr>
          <w:rFonts w:asciiTheme="minorHAnsi" w:hAnsiTheme="minorHAnsi"/>
          <w:b/>
          <w:bCs/>
        </w:rPr>
      </w:pPr>
    </w:p>
    <w:p w:rsidRPr="002D7274" w:rsidR="00091A2B" w:rsidP="00091A2B" w:rsidRDefault="00091A2B" w14:paraId="2AAD6D59" w14:textId="55F98D52">
      <w:pPr>
        <w:contextualSpacing/>
        <w:jc w:val="center"/>
        <w:rPr>
          <w:rFonts w:asciiTheme="minorHAnsi" w:hAnsiTheme="minorHAnsi"/>
          <w:b/>
          <w:bCs/>
        </w:rPr>
      </w:pPr>
      <w:r w:rsidRPr="002D7274">
        <w:rPr>
          <w:rFonts w:asciiTheme="minorHAnsi" w:hAnsiTheme="minorHAnsi"/>
          <w:b/>
          <w:bCs/>
        </w:rPr>
        <w:t xml:space="preserve">FOR </w:t>
      </w:r>
      <w:r>
        <w:rPr>
          <w:rFonts w:asciiTheme="minorHAnsi" w:hAnsiTheme="minorHAnsi"/>
          <w:b/>
          <w:bCs/>
        </w:rPr>
        <w:t xml:space="preserve">HEAT PUMP </w:t>
      </w:r>
      <w:r w:rsidRPr="002D7274">
        <w:rPr>
          <w:rFonts w:asciiTheme="minorHAnsi" w:hAnsiTheme="minorHAnsi"/>
          <w:b/>
          <w:bCs/>
        </w:rPr>
        <w:t xml:space="preserve">WATER HEATERS </w:t>
      </w:r>
    </w:p>
    <w:p w:rsidRPr="002D7274" w:rsidR="00091A2B" w:rsidP="00091A2B" w:rsidRDefault="00091A2B" w14:paraId="5A48B8E9" w14:textId="77777777">
      <w:pPr>
        <w:contextualSpacing/>
        <w:rPr>
          <w:rFonts w:asciiTheme="minorHAnsi" w:hAnsiTheme="minorHAnsi"/>
        </w:rPr>
      </w:pPr>
    </w:p>
    <w:p w:rsidRPr="002D7274" w:rsidR="00091A2B" w:rsidP="00091A2B" w:rsidRDefault="00091A2B" w14:paraId="32EAAA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02D7274">
        <w:rPr>
          <w:rFonts w:asciiTheme="minorHAnsi" w:hAnsiTheme="minorHAnsi"/>
        </w:rPr>
        <w:t>You need to know or convert the unit cost of electricity by kilowatt-hour (kWh).</w:t>
      </w:r>
    </w:p>
    <w:p w:rsidRPr="00CA59F0" w:rsidR="00091A2B" w:rsidP="00091A2B" w:rsidRDefault="00091A2B" w14:paraId="6FA43A2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="Cambria Math" w:hAnsi="Cambria Math"/>
          <w:oMath/>
        </w:rPr>
      </w:pPr>
    </w:p>
    <w:p w:rsidRPr="00CA59F0" w:rsidR="002D0359" w:rsidP="002D0359" w:rsidRDefault="007C7F28" w14:paraId="612D155D" w14:textId="38B1DAF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="Cambria Math" w:hAnsi="Cambria Math"/>
          <w:oMath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year</m:t>
                      </m:r>
                    </m:den>
                  </m:f>
                  <m:r>
                    <w:rPr>
                      <w:rFonts w:ascii="Cambria Math" w:hAnsi="Cambria Math"/>
                    </w:rPr>
                    <m:t>×12.03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kW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UEF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Fuel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Cost</m:t>
              </m:r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$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kW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 xml:space="preserve"> = </m:t>
          </m:r>
          <m:r>
            <w:rPr>
              <w:rFonts w:ascii="Cambria Math" w:hAnsi="Cambria Math"/>
            </w:rPr>
            <m:t>annual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cost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of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operation</m:t>
          </m:r>
        </m:oMath>
      </m:oMathPara>
    </w:p>
    <w:p w:rsidRPr="002D7274" w:rsidR="00091A2B" w:rsidP="00091A2B" w:rsidRDefault="00091A2B" w14:paraId="5BDAB0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="009C4930" w:rsidP="0F187A18" w:rsidRDefault="00091A2B" w14:paraId="0934C486" w14:textId="7C97EA1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F187A18">
        <w:rPr>
          <w:rFonts w:asciiTheme="minorHAnsi" w:hAnsiTheme="minorHAnsi"/>
        </w:rPr>
        <w:t xml:space="preserve">Example: A heat pump water heater with a </w:t>
      </w:r>
      <w:r w:rsidRPr="0F187A18" w:rsidR="00B57C9E">
        <w:rPr>
          <w:rFonts w:asciiTheme="minorHAnsi" w:hAnsiTheme="minorHAnsi"/>
        </w:rPr>
        <w:t>U</w:t>
      </w:r>
      <w:r w:rsidRPr="0F187A18">
        <w:rPr>
          <w:rFonts w:asciiTheme="minorHAnsi" w:hAnsiTheme="minorHAnsi"/>
        </w:rPr>
        <w:t xml:space="preserve">EF of 4.0 and an electricity cost of </w:t>
      </w:r>
    </w:p>
    <w:p w:rsidRPr="002D7274" w:rsidR="00091A2B" w:rsidP="00091A2B" w:rsidRDefault="001A7210" w14:paraId="6FB6ABE9" w14:textId="76675C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02D7274">
        <w:rPr>
          <w:rFonts w:asciiTheme="minorHAnsi" w:hAnsiTheme="minorHAnsi"/>
        </w:rPr>
        <w:t>$0.</w:t>
      </w:r>
      <w:r w:rsidRPr="00206171" w:rsidR="00206171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168</m:t>
        </m:r>
      </m:oMath>
      <w:r w:rsidRPr="002D7274" w:rsidR="00F96601">
        <w:rPr>
          <w:rFonts w:asciiTheme="minorHAnsi" w:hAnsiTheme="minorHAnsi"/>
        </w:rPr>
        <w:t>/kWh</w:t>
      </w:r>
      <w:r w:rsidR="004043EE">
        <w:rPr>
          <w:rFonts w:asciiTheme="minorHAnsi" w:hAnsiTheme="minorHAnsi"/>
        </w:rPr>
        <w:t xml:space="preserve"> </w:t>
      </w:r>
      <w:r w:rsidR="004043EE">
        <w:rPr>
          <w:rFonts w:asciiTheme="minorHAnsi" w:hAnsiTheme="minorHAnsi"/>
          <w:vertAlign w:val="superscript"/>
        </w:rPr>
        <w:t>2</w:t>
      </w:r>
    </w:p>
    <w:p w:rsidRPr="002D7274" w:rsidR="00091A2B" w:rsidP="00091A2B" w:rsidRDefault="00091A2B" w14:paraId="4DEDF5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</w:p>
    <w:p w:rsidRPr="009649A5" w:rsidR="00E620DB" w:rsidP="00815919" w:rsidRDefault="007C7F28" w14:paraId="1864D4DA" w14:textId="765514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year</m:t>
                      </m:r>
                    </m:den>
                  </m:f>
                  <m:r>
                    <w:rPr>
                      <w:rFonts w:ascii="Cambria Math" w:hAnsi="Cambria Math"/>
                    </w:rPr>
                    <m:t>× 12.03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kW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4.0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0.168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$</m:t>
                  </m:r>
                </m:num>
                <m:den>
                  <m:r>
                    <w:rPr>
                      <w:rFonts w:ascii="Cambria Math" w:hAnsi="Cambria Math"/>
                    </w:rPr>
                    <m:t>kW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d>
        </m:oMath>
      </m:oMathPara>
    </w:p>
    <w:p w:rsidRPr="00C33D73" w:rsidR="006637C4" w:rsidP="00C33D73" w:rsidRDefault="00091A2B" w14:paraId="046CE227" w14:textId="709839F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jc w:val="center"/>
        <w:rPr>
          <w:rFonts w:asciiTheme="minorHAnsi" w:hAnsiTheme="minorHAnsi"/>
        </w:rPr>
      </w:pPr>
      <w:r w:rsidRPr="002D7274">
        <w:rPr>
          <w:rFonts w:asciiTheme="minorHAnsi" w:hAnsiTheme="minorHAnsi"/>
        </w:rPr>
        <w:t>(</w:t>
      </w:r>
      <w:r w:rsidRPr="002D7274" w:rsidR="00E620DB">
        <w:rPr>
          <w:rFonts w:asciiTheme="minorHAnsi" w:hAnsiTheme="minorHAnsi"/>
        </w:rPr>
        <w:t>This</w:t>
      </w:r>
      <w:r w:rsidRPr="002D7274">
        <w:rPr>
          <w:rFonts w:asciiTheme="minorHAnsi" w:hAnsiTheme="minorHAnsi"/>
        </w:rPr>
        <w:t xml:space="preserve"> is the latest cost of electricity used on the Energy Label) = </w:t>
      </w:r>
      <w:r w:rsidRPr="00236FF5">
        <w:rPr>
          <w:rFonts w:asciiTheme="minorHAnsi" w:hAnsiTheme="minorHAnsi"/>
          <w:b/>
          <w:bCs/>
          <w:u w:val="single"/>
        </w:rPr>
        <w:t>$</w:t>
      </w:r>
      <w:r w:rsidR="00ED393F">
        <w:rPr>
          <w:rFonts w:asciiTheme="minorHAnsi" w:hAnsiTheme="minorHAnsi"/>
          <w:b/>
          <w:bCs/>
          <w:u w:val="single"/>
        </w:rPr>
        <w:t>184</w:t>
      </w:r>
      <w:r w:rsidR="00C8244E">
        <w:rPr>
          <w:rFonts w:asciiTheme="minorHAnsi" w:hAnsiTheme="minorHAnsi"/>
          <w:b/>
          <w:bCs/>
          <w:u w:val="single"/>
        </w:rPr>
        <w:t xml:space="preserve"> </w:t>
      </w:r>
      <w:r w:rsidR="00CA59F0">
        <w:rPr>
          <w:rFonts w:asciiTheme="minorHAnsi" w:hAnsiTheme="minorHAnsi"/>
          <w:b/>
          <w:bCs/>
          <w:u w:val="single"/>
        </w:rPr>
        <w:t>per year</w:t>
      </w:r>
    </w:p>
    <w:p w:rsidR="006637C4" w:rsidP="009F5BD0" w:rsidRDefault="006637C4" w14:paraId="6B1E8977" w14:textId="77777777">
      <w:pPr>
        <w:contextualSpacing/>
        <w:rPr>
          <w:rFonts w:asciiTheme="minorHAnsi" w:hAnsiTheme="minorHAnsi"/>
        </w:rPr>
      </w:pPr>
    </w:p>
    <w:p w:rsidR="00BA2801" w:rsidP="009F5BD0" w:rsidRDefault="00C6606B" w14:paraId="67BB4358" w14:textId="5703D7E9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Assuming </w:t>
      </w:r>
      <w:r w:rsidR="005C54B6">
        <w:rPr>
          <w:rFonts w:asciiTheme="minorHAnsi" w:hAnsiTheme="minorHAnsi"/>
        </w:rPr>
        <w:t>an</w:t>
      </w:r>
      <w:r>
        <w:rPr>
          <w:rFonts w:asciiTheme="minorHAnsi" w:hAnsiTheme="minorHAnsi"/>
        </w:rPr>
        <w:t xml:space="preserve"> initial purchase cost </w:t>
      </w:r>
      <w:r w:rsidR="007127DF">
        <w:rPr>
          <w:rFonts w:asciiTheme="minorHAnsi" w:hAnsiTheme="minorHAnsi"/>
        </w:rPr>
        <w:t xml:space="preserve">distribution of </w:t>
      </w:r>
      <w:r w:rsidR="00CF123C">
        <w:rPr>
          <w:rFonts w:asciiTheme="minorHAnsi" w:hAnsiTheme="minorHAnsi"/>
        </w:rPr>
        <w:t>$</w:t>
      </w:r>
      <w:r w:rsidR="007127DF">
        <w:rPr>
          <w:rFonts w:asciiTheme="minorHAnsi" w:hAnsiTheme="minorHAnsi"/>
        </w:rPr>
        <w:t xml:space="preserve">500 for </w:t>
      </w:r>
      <w:r w:rsidR="004456AE">
        <w:rPr>
          <w:rFonts w:asciiTheme="minorHAnsi" w:hAnsiTheme="minorHAnsi"/>
        </w:rPr>
        <w:t xml:space="preserve">the conventional gas and oil </w:t>
      </w:r>
      <w:r w:rsidR="00C77F6E">
        <w:rPr>
          <w:rFonts w:asciiTheme="minorHAnsi" w:hAnsiTheme="minorHAnsi"/>
        </w:rPr>
        <w:t xml:space="preserve">water heater, </w:t>
      </w:r>
      <w:r w:rsidR="00CF123C">
        <w:rPr>
          <w:rFonts w:asciiTheme="minorHAnsi" w:hAnsiTheme="minorHAnsi"/>
        </w:rPr>
        <w:t>$</w:t>
      </w:r>
      <w:r w:rsidR="00DE6DA6">
        <w:rPr>
          <w:rFonts w:asciiTheme="minorHAnsi" w:hAnsiTheme="minorHAnsi"/>
        </w:rPr>
        <w:t>5</w:t>
      </w:r>
      <w:r w:rsidR="00C77F6E">
        <w:rPr>
          <w:rFonts w:asciiTheme="minorHAnsi" w:hAnsiTheme="minorHAnsi"/>
        </w:rPr>
        <w:t xml:space="preserve">00 </w:t>
      </w:r>
      <w:r w:rsidR="002677EA">
        <w:rPr>
          <w:rFonts w:asciiTheme="minorHAnsi" w:hAnsiTheme="minorHAnsi"/>
        </w:rPr>
        <w:t xml:space="preserve">for the conventional </w:t>
      </w:r>
      <w:r w:rsidR="00AC1BCE">
        <w:rPr>
          <w:rFonts w:asciiTheme="minorHAnsi" w:hAnsiTheme="minorHAnsi"/>
        </w:rPr>
        <w:t xml:space="preserve">electric water heater, and </w:t>
      </w:r>
      <w:r w:rsidR="00CF123C">
        <w:rPr>
          <w:rFonts w:asciiTheme="minorHAnsi" w:hAnsiTheme="minorHAnsi"/>
        </w:rPr>
        <w:t>$</w:t>
      </w:r>
      <w:r w:rsidR="00AC1BCE">
        <w:rPr>
          <w:rFonts w:asciiTheme="minorHAnsi" w:hAnsiTheme="minorHAnsi"/>
        </w:rPr>
        <w:t>1,500 for the HPWH</w:t>
      </w:r>
      <w:r w:rsidR="00112676">
        <w:rPr>
          <w:rFonts w:asciiTheme="minorHAnsi" w:hAnsiTheme="minorHAnsi"/>
        </w:rPr>
        <w:t xml:space="preserve">, we can </w:t>
      </w:r>
      <w:r w:rsidR="008164AD">
        <w:rPr>
          <w:rFonts w:asciiTheme="minorHAnsi" w:hAnsiTheme="minorHAnsi"/>
        </w:rPr>
        <w:t xml:space="preserve">extend the total cost of each option over the </w:t>
      </w:r>
      <w:r w:rsidR="005C54B6">
        <w:rPr>
          <w:rFonts w:asciiTheme="minorHAnsi" w:hAnsiTheme="minorHAnsi"/>
        </w:rPr>
        <w:t>course</w:t>
      </w:r>
      <w:r w:rsidR="008164AD">
        <w:rPr>
          <w:rFonts w:asciiTheme="minorHAnsi" w:hAnsiTheme="minorHAnsi"/>
        </w:rPr>
        <w:t xml:space="preserve"> of </w:t>
      </w:r>
      <w:r w:rsidR="005C54B6">
        <w:rPr>
          <w:rFonts w:asciiTheme="minorHAnsi" w:hAnsiTheme="minorHAnsi"/>
        </w:rPr>
        <w:t xml:space="preserve">10 years of operation. An example is shown in Table 1. </w:t>
      </w:r>
    </w:p>
    <w:p w:rsidRPr="00035227" w:rsidR="00035227" w:rsidP="00035227" w:rsidRDefault="00035227" w14:paraId="4829AA29" w14:textId="5A531F5F">
      <w:pPr>
        <w:pStyle w:val="Caption"/>
        <w:keepNext/>
        <w:spacing w:after="0"/>
        <w:jc w:val="center"/>
        <w:rPr>
          <w:b/>
          <w:bCs/>
          <w:i w:val="0"/>
          <w:iCs w:val="0"/>
          <w:sz w:val="22"/>
          <w:szCs w:val="22"/>
        </w:rPr>
      </w:pPr>
      <w:r w:rsidRPr="00035227">
        <w:rPr>
          <w:b/>
          <w:bCs/>
          <w:i w:val="0"/>
          <w:iCs w:val="0"/>
          <w:sz w:val="22"/>
          <w:szCs w:val="22"/>
        </w:rPr>
        <w:t>Initial Cost, and Yearly operation cost for different types of water heaters</w:t>
      </w:r>
    </w:p>
    <w:tbl>
      <w:tblPr>
        <w:tblStyle w:val="ListTable6Colorful-Accent5"/>
        <w:tblW w:w="0" w:type="auto"/>
        <w:tblLook w:val="04E0" w:firstRow="1" w:lastRow="1" w:firstColumn="1" w:lastColumn="0" w:noHBand="0" w:noVBand="1"/>
        <w:tblCaption w:val="Testing"/>
      </w:tblPr>
      <w:tblGrid>
        <w:gridCol w:w="2294"/>
        <w:gridCol w:w="2454"/>
        <w:gridCol w:w="2306"/>
        <w:gridCol w:w="2306"/>
      </w:tblGrid>
      <w:tr w:rsidR="005C54B6" w:rsidTr="00256D08" w14:paraId="69C440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:rsidR="005C54B6" w:rsidP="00035227" w:rsidRDefault="005C54B6" w14:paraId="1AC6A7E8" w14:textId="4BA6BF40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454" w:type="dxa"/>
          </w:tcPr>
          <w:p w:rsidR="005C54B6" w:rsidP="00A76C39" w:rsidRDefault="00A33BA6" w14:paraId="5224314B" w14:textId="377AD3A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Conv. Gas and Oil</w:t>
            </w:r>
            <w:r w:rsidR="00CF12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06" w:type="dxa"/>
          </w:tcPr>
          <w:p w:rsidR="005C54B6" w:rsidP="00A76C39" w:rsidRDefault="00A76C39" w14:paraId="5183E50F" w14:textId="2CBAC94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Conv. Electric</w:t>
            </w:r>
          </w:p>
        </w:tc>
        <w:tc>
          <w:tcPr>
            <w:tcW w:w="2306" w:type="dxa"/>
          </w:tcPr>
          <w:p w:rsidR="005C54B6" w:rsidP="00A76C39" w:rsidRDefault="00A76C39" w14:paraId="4BF74FFB" w14:textId="54F92DF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HPWH</w:t>
            </w:r>
          </w:p>
        </w:tc>
      </w:tr>
      <w:tr w:rsidR="00256D08" w:rsidTr="00256D08" w14:paraId="1DF075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:rsidR="00256D08" w:rsidP="00256D08" w:rsidRDefault="00256D08" w14:paraId="28F3F2AB" w14:textId="50F273E2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Initial Cost ($)</w:t>
            </w:r>
          </w:p>
        </w:tc>
        <w:tc>
          <w:tcPr>
            <w:tcW w:w="2454" w:type="dxa"/>
          </w:tcPr>
          <w:p w:rsidR="00256D08" w:rsidP="00256D08" w:rsidRDefault="00256D08" w14:paraId="31B14E75" w14:textId="2DDDDC4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500</w:t>
            </w:r>
          </w:p>
        </w:tc>
        <w:tc>
          <w:tcPr>
            <w:tcW w:w="2306" w:type="dxa"/>
          </w:tcPr>
          <w:p w:rsidR="00256D08" w:rsidP="00256D08" w:rsidRDefault="00256D08" w14:paraId="7A1BAB27" w14:textId="3BABF5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500</w:t>
            </w:r>
          </w:p>
        </w:tc>
        <w:tc>
          <w:tcPr>
            <w:tcW w:w="2306" w:type="dxa"/>
          </w:tcPr>
          <w:p w:rsidR="00256D08" w:rsidP="00256D08" w:rsidRDefault="00256D08" w14:paraId="1281F068" w14:textId="4EEBBA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1500</w:t>
            </w:r>
          </w:p>
        </w:tc>
      </w:tr>
      <w:tr w:rsidR="00256D08" w:rsidTr="00256D08" w14:paraId="261F17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:rsidRPr="00A76C39" w:rsidR="00256D08" w:rsidP="00256D08" w:rsidRDefault="00256D08" w14:paraId="2CD33160" w14:textId="56A5D1BC">
            <w:pPr>
              <w:contextualSpacing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1 Year</w:t>
            </w:r>
          </w:p>
        </w:tc>
        <w:tc>
          <w:tcPr>
            <w:tcW w:w="2454" w:type="dxa"/>
          </w:tcPr>
          <w:p w:rsidR="00256D08" w:rsidP="00256D08" w:rsidRDefault="00256D08" w14:paraId="3D19F961" w14:textId="4B165B5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970</w:t>
            </w:r>
          </w:p>
        </w:tc>
        <w:tc>
          <w:tcPr>
            <w:tcW w:w="2306" w:type="dxa"/>
          </w:tcPr>
          <w:p w:rsidR="00256D08" w:rsidP="00256D08" w:rsidRDefault="00256D08" w14:paraId="2880DF59" w14:textId="33BC1E1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1238</w:t>
            </w:r>
          </w:p>
        </w:tc>
        <w:tc>
          <w:tcPr>
            <w:tcW w:w="2306" w:type="dxa"/>
          </w:tcPr>
          <w:p w:rsidR="00256D08" w:rsidP="00256D08" w:rsidRDefault="00256D08" w14:paraId="73051C64" w14:textId="52DAEBE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1684</w:t>
            </w:r>
          </w:p>
        </w:tc>
      </w:tr>
      <w:tr w:rsidR="00256D08" w:rsidTr="00256D08" w14:paraId="2B6527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:rsidR="00256D08" w:rsidP="00256D08" w:rsidRDefault="00256D08" w14:paraId="11E777D0" w14:textId="299E58C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Years</w:t>
            </w:r>
          </w:p>
        </w:tc>
        <w:tc>
          <w:tcPr>
            <w:tcW w:w="2454" w:type="dxa"/>
          </w:tcPr>
          <w:p w:rsidR="00256D08" w:rsidP="00256D08" w:rsidRDefault="00256D08" w14:paraId="77EC1D8F" w14:textId="3399332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2848</w:t>
            </w:r>
          </w:p>
        </w:tc>
        <w:tc>
          <w:tcPr>
            <w:tcW w:w="2306" w:type="dxa"/>
          </w:tcPr>
          <w:p w:rsidR="00256D08" w:rsidP="00256D08" w:rsidRDefault="00256D08" w14:paraId="3836DD3A" w14:textId="174BE2B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4188</w:t>
            </w:r>
          </w:p>
        </w:tc>
        <w:tc>
          <w:tcPr>
            <w:tcW w:w="2306" w:type="dxa"/>
          </w:tcPr>
          <w:p w:rsidR="00256D08" w:rsidP="00256D08" w:rsidRDefault="00256D08" w14:paraId="2BD1D1AA" w14:textId="554468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2422</w:t>
            </w:r>
          </w:p>
        </w:tc>
      </w:tr>
      <w:tr w:rsidR="00256D08" w:rsidTr="00256D08" w14:paraId="4A7AC919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:rsidR="00256D08" w:rsidP="00256D08" w:rsidRDefault="00256D08" w14:paraId="673D8BB7" w14:textId="7D84A8B4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Years</w:t>
            </w:r>
          </w:p>
        </w:tc>
        <w:tc>
          <w:tcPr>
            <w:tcW w:w="2454" w:type="dxa"/>
          </w:tcPr>
          <w:p w:rsidR="00256D08" w:rsidP="00256D08" w:rsidRDefault="00256D08" w14:paraId="3F25D820" w14:textId="3C654767">
            <w:pPr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5196</w:t>
            </w:r>
          </w:p>
        </w:tc>
        <w:tc>
          <w:tcPr>
            <w:tcW w:w="2306" w:type="dxa"/>
          </w:tcPr>
          <w:p w:rsidR="00256D08" w:rsidP="00256D08" w:rsidRDefault="00256D08" w14:paraId="29E12C00" w14:textId="1470FF0E">
            <w:pPr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7877</w:t>
            </w:r>
          </w:p>
        </w:tc>
        <w:tc>
          <w:tcPr>
            <w:tcW w:w="2306" w:type="dxa"/>
          </w:tcPr>
          <w:p w:rsidR="00256D08" w:rsidP="00256D08" w:rsidRDefault="00256D08" w14:paraId="3E61D6D0" w14:textId="4DF57E3F">
            <w:pPr>
              <w:keepNext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9F5">
              <w:t>3344</w:t>
            </w:r>
          </w:p>
        </w:tc>
      </w:tr>
    </w:tbl>
    <w:p w:rsidR="005C54B6" w:rsidP="00035227" w:rsidRDefault="00035227" w14:paraId="6CE09782" w14:textId="7C8AC4F9">
      <w:pPr>
        <w:pStyle w:val="Caption"/>
        <w:rPr>
          <w:rFonts w:asciiTheme="minorHAnsi" w:hAnsiTheme="minorHAnsi"/>
        </w:rPr>
      </w:pPr>
      <w:r>
        <w:t xml:space="preserve">Table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Initial Cost is the cost of purchase. 1 Year is the Initial Cost plus 1 Year of operation. 5 Years is Initial cost plus 5 years of operation. 10 Years is Initial cost plus 10 years of operation.</w:t>
      </w:r>
    </w:p>
    <w:p w:rsidRPr="002D7274" w:rsidR="00BA2801" w:rsidP="009F5BD0" w:rsidRDefault="00BA2801" w14:paraId="047228F7" w14:textId="77777777">
      <w:pPr>
        <w:contextualSpacing/>
        <w:rPr>
          <w:rFonts w:asciiTheme="minorHAnsi" w:hAnsiTheme="minorHAnsi"/>
        </w:rPr>
      </w:pPr>
    </w:p>
    <w:p w:rsidR="00706DAC" w:rsidP="00706DAC" w:rsidRDefault="00706DAC" w14:paraId="06CC1AF6" w14:textId="5229CD44">
      <w:pPr>
        <w:spacing w:after="0"/>
        <w:rPr>
          <w:rFonts w:cstheme="minorHAnsi"/>
          <w:u w:val="single"/>
        </w:rPr>
      </w:pPr>
      <w:r w:rsidRPr="005B7E27">
        <w:rPr>
          <w:rFonts w:cstheme="minorHAnsi"/>
          <w:u w:val="single"/>
        </w:rPr>
        <w:t xml:space="preserve">Problem Set </w:t>
      </w:r>
      <w:r>
        <w:rPr>
          <w:rFonts w:cstheme="minorHAnsi"/>
          <w:u w:val="single"/>
        </w:rPr>
        <w:t>3</w:t>
      </w:r>
      <w:r w:rsidRPr="005B7E27">
        <w:rPr>
          <w:rFonts w:cstheme="minorHAnsi"/>
          <w:u w:val="single"/>
        </w:rPr>
        <w:t>.1</w:t>
      </w:r>
    </w:p>
    <w:p w:rsidR="00AC3062" w:rsidP="00706DAC" w:rsidRDefault="00AC3062" w14:paraId="33236572" w14:textId="77777777">
      <w:pPr>
        <w:spacing w:after="0"/>
        <w:rPr>
          <w:rFonts w:cstheme="minorHAnsi"/>
          <w:u w:val="single"/>
        </w:rPr>
      </w:pPr>
    </w:p>
    <w:p w:rsidRPr="0020068A" w:rsidR="0020068A" w:rsidP="0F187A18" w:rsidRDefault="00706DAC" w14:paraId="187D3E9D" w14:textId="0F0DE81C">
      <w:pPr>
        <w:pStyle w:val="ListParagraph"/>
        <w:numPr>
          <w:ilvl w:val="0"/>
          <w:numId w:val="5"/>
        </w:numPr>
        <w:spacing w:after="0"/>
        <w:rPr>
          <w:u w:val="single"/>
        </w:rPr>
      </w:pPr>
      <w:r w:rsidRPr="0F187A18">
        <w:t xml:space="preserve">Calculate </w:t>
      </w:r>
      <w:r w:rsidRPr="0F187A18" w:rsidR="00AC3062">
        <w:t>the estimated annual operational cost of a HPWH</w:t>
      </w:r>
      <w:r w:rsidRPr="0F187A18" w:rsidR="00DA330F">
        <w:t xml:space="preserve"> with a </w:t>
      </w:r>
      <w:r w:rsidRPr="0F187A18" w:rsidR="00594B4B">
        <w:t xml:space="preserve">Uniform </w:t>
      </w:r>
      <w:r w:rsidRPr="0F187A18" w:rsidR="00DA330F">
        <w:t>Energy Factor of 4.5</w:t>
      </w:r>
      <w:r w:rsidRPr="0F187A18" w:rsidR="00E00F52">
        <w:t>.</w:t>
      </w:r>
      <w:r w:rsidRPr="0F187A18" w:rsidR="008434F3">
        <w:t xml:space="preserve"> Assume a </w:t>
      </w:r>
      <w:r w:rsidRPr="0F187A18" w:rsidR="00083FBB">
        <w:t>daily power usage of 13</w:t>
      </w:r>
      <w:r w:rsidRPr="0F187A18" w:rsidR="00AF31BD">
        <w:t xml:space="preserve"> </w:t>
      </w:r>
      <w:r w:rsidRPr="0F187A18" w:rsidR="00083FBB">
        <w:t xml:space="preserve">kWh/day and an average electricity cost of </w:t>
      </w:r>
      <w:r w:rsidRPr="0F187A18" w:rsidR="0020068A">
        <w:t>0.</w:t>
      </w:r>
      <w:r w:rsidRPr="0F187A18" w:rsidR="00980F69">
        <w:t xml:space="preserve">20 </w:t>
      </w:r>
      <w:r w:rsidRPr="0F187A18" w:rsidR="00D01FF3">
        <w:t>$</w:t>
      </w:r>
      <w:r w:rsidRPr="0F187A18" w:rsidR="0020068A">
        <w:t>/kWh.</w:t>
      </w:r>
    </w:p>
    <w:p w:rsidRPr="0020068A" w:rsidR="0020068A" w:rsidP="0020068A" w:rsidRDefault="0020068A" w14:paraId="2C82440C" w14:textId="3119B32E">
      <w:pPr>
        <w:pStyle w:val="ListParagraph"/>
        <w:spacing w:after="0"/>
        <w:rPr>
          <w:rFonts w:cstheme="minorHAnsi"/>
          <w:u w:val="single"/>
        </w:rPr>
      </w:pPr>
    </w:p>
    <w:p w:rsidR="006E38E2" w:rsidP="009F5BD0" w:rsidRDefault="006E38E2" w14:paraId="2C078E63" w14:textId="06035232"/>
    <w:sectPr w:rsidR="006E38E2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443" w:rsidP="00C33D73" w:rsidRDefault="00DE2443" w14:paraId="591EDAEC" w14:textId="77777777">
      <w:pPr>
        <w:spacing w:after="0" w:line="240" w:lineRule="auto"/>
      </w:pPr>
      <w:r>
        <w:separator/>
      </w:r>
    </w:p>
  </w:endnote>
  <w:endnote w:type="continuationSeparator" w:id="0">
    <w:p w:rsidR="00DE2443" w:rsidP="00C33D73" w:rsidRDefault="00DE2443" w14:paraId="0D5D3727" w14:textId="77777777">
      <w:pPr>
        <w:spacing w:after="0" w:line="240" w:lineRule="auto"/>
      </w:pPr>
      <w:r>
        <w:continuationSeparator/>
      </w:r>
    </w:p>
  </w:endnote>
  <w:endnote w:type="continuationNotice" w:id="1">
    <w:p w:rsidR="00DE2443" w:rsidRDefault="00DE2443" w14:paraId="085270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199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C49" w:rsidRDefault="00431C49" w14:paraId="36517294" w14:textId="49354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C49" w:rsidRDefault="00431C49" w14:paraId="422E0A5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443" w:rsidP="00C33D73" w:rsidRDefault="00DE2443" w14:paraId="473E678B" w14:textId="77777777">
      <w:pPr>
        <w:spacing w:after="0" w:line="240" w:lineRule="auto"/>
      </w:pPr>
      <w:r>
        <w:separator/>
      </w:r>
    </w:p>
  </w:footnote>
  <w:footnote w:type="continuationSeparator" w:id="0">
    <w:p w:rsidR="00DE2443" w:rsidP="00C33D73" w:rsidRDefault="00DE2443" w14:paraId="4EC405FA" w14:textId="77777777">
      <w:pPr>
        <w:spacing w:after="0" w:line="240" w:lineRule="auto"/>
      </w:pPr>
      <w:r>
        <w:continuationSeparator/>
      </w:r>
    </w:p>
  </w:footnote>
  <w:footnote w:type="continuationNotice" w:id="1">
    <w:p w:rsidR="00DE2443" w:rsidRDefault="00DE2443" w14:paraId="409DEE48" w14:textId="77777777">
      <w:pPr>
        <w:spacing w:after="0" w:line="240" w:lineRule="auto"/>
      </w:pPr>
    </w:p>
  </w:footnote>
  <w:footnote w:id="2">
    <w:p w:rsidR="00C33D73" w:rsidRDefault="00C33D73" w14:paraId="67931932" w14:textId="680E2B17">
      <w:pPr>
        <w:pStyle w:val="FootnoteText"/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</w:pPr>
      <w:r w:rsidRPr="007C454C">
        <w:rPr>
          <w:rStyle w:val="FootnoteReference"/>
          <w:color w:val="7F7F7F" w:themeColor="text1" w:themeTint="80"/>
        </w:rPr>
        <w:footnoteRef/>
      </w:r>
      <w:r>
        <w:t xml:space="preserve"> </w:t>
      </w:r>
      <w:r w:rsidRPr="006637C4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>kWh = 3412.14 BTU</w:t>
      </w:r>
      <w:r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 xml:space="preserve"> -  12.03 kWh is an estimate energy usage per household</w:t>
      </w:r>
    </w:p>
    <w:p w:rsidR="00E5246F" w:rsidRDefault="00E5246F" w14:paraId="07B7230F" w14:textId="553E5127">
      <w:pPr>
        <w:pStyle w:val="FootnoteText"/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</w:pPr>
      <w:r w:rsidRPr="006637C4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>therm = 100,000 BTU</w:t>
      </w:r>
      <w:r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 xml:space="preserve"> – 0.4105 therm is an estimated fuel usage per household</w:t>
      </w:r>
    </w:p>
    <w:p w:rsidR="00D33A72" w:rsidRDefault="00D33A72" w14:paraId="01A3E235" w14:textId="77777777">
      <w:pPr>
        <w:pStyle w:val="FootnoteText"/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</w:pPr>
    </w:p>
    <w:p w:rsidR="00205843" w:rsidRDefault="00D33A72" w14:paraId="47531664" w14:textId="05158A81">
      <w:pPr>
        <w:pStyle w:val="FootnoteText"/>
      </w:pPr>
      <w:r w:rsidRPr="007C454C">
        <w:rPr>
          <w:color w:val="7F7F7F" w:themeColor="text1" w:themeTint="80"/>
          <w:vertAlign w:val="superscript"/>
        </w:rPr>
        <w:t>2</w:t>
      </w:r>
      <w:r w:rsidR="00E5224F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363585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>Electricity cost and Fuel cost ar</w:t>
      </w:r>
      <w:r w:rsidR="00AD1887">
        <w:rPr>
          <w:rFonts w:asciiTheme="minorHAnsi" w:hAnsiTheme="minorHAnsi"/>
          <w:i/>
          <w:iCs/>
          <w:color w:val="808080" w:themeColor="background1" w:themeShade="80"/>
          <w:sz w:val="18"/>
          <w:szCs w:val="18"/>
        </w:rPr>
        <w:t xml:space="preserve">e the US National average costs for January 2023. </w:t>
      </w:r>
      <w:hyperlink w:history="1" r:id="rId1">
        <w:r>
          <w:rPr>
            <w:rStyle w:val="Hyperlink"/>
          </w:rPr>
          <w:t>Average energy prices for the United States, regions, census divisions, and selected metropolitan areas : Midwest Information Office : U.S. Bureau of Labor Statistics (bls.gov)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7F1F"/>
    <w:multiLevelType w:val="hybridMultilevel"/>
    <w:tmpl w:val="AB5C8280"/>
    <w:lvl w:ilvl="0" w:tplc="B27A749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A0709"/>
    <w:multiLevelType w:val="hybridMultilevel"/>
    <w:tmpl w:val="CD06DED0"/>
    <w:lvl w:ilvl="0" w:tplc="D604EDA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C8186B"/>
    <w:multiLevelType w:val="hybridMultilevel"/>
    <w:tmpl w:val="12F80EA4"/>
    <w:lvl w:ilvl="0" w:tplc="922E632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701BB7"/>
    <w:multiLevelType w:val="hybridMultilevel"/>
    <w:tmpl w:val="1E06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2F26"/>
    <w:multiLevelType w:val="hybridMultilevel"/>
    <w:tmpl w:val="E9E8F0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BD393D"/>
    <w:multiLevelType w:val="hybridMultilevel"/>
    <w:tmpl w:val="212842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1152298">
    <w:abstractNumId w:val="4"/>
  </w:num>
  <w:num w:numId="2" w16cid:durableId="2140537915">
    <w:abstractNumId w:val="2"/>
  </w:num>
  <w:num w:numId="3" w16cid:durableId="1290668765">
    <w:abstractNumId w:val="0"/>
  </w:num>
  <w:num w:numId="4" w16cid:durableId="932517621">
    <w:abstractNumId w:val="5"/>
  </w:num>
  <w:num w:numId="5" w16cid:durableId="36900545">
    <w:abstractNumId w:val="3"/>
  </w:num>
  <w:num w:numId="6" w16cid:durableId="201788156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B4E9C"/>
    <w:rsid w:val="00000874"/>
    <w:rsid w:val="0001446B"/>
    <w:rsid w:val="00032661"/>
    <w:rsid w:val="00035227"/>
    <w:rsid w:val="000371A8"/>
    <w:rsid w:val="00051D8C"/>
    <w:rsid w:val="00060908"/>
    <w:rsid w:val="00082FBC"/>
    <w:rsid w:val="00083FBB"/>
    <w:rsid w:val="00084806"/>
    <w:rsid w:val="000848FC"/>
    <w:rsid w:val="00091A2B"/>
    <w:rsid w:val="00093E69"/>
    <w:rsid w:val="000C7B65"/>
    <w:rsid w:val="000D0CED"/>
    <w:rsid w:val="000D70D1"/>
    <w:rsid w:val="000F2E10"/>
    <w:rsid w:val="000F4D08"/>
    <w:rsid w:val="00102A4B"/>
    <w:rsid w:val="00102DD5"/>
    <w:rsid w:val="0010311B"/>
    <w:rsid w:val="00111512"/>
    <w:rsid w:val="001121D3"/>
    <w:rsid w:val="00112676"/>
    <w:rsid w:val="00113166"/>
    <w:rsid w:val="0011607F"/>
    <w:rsid w:val="001202F9"/>
    <w:rsid w:val="001320B9"/>
    <w:rsid w:val="001355A5"/>
    <w:rsid w:val="00142C83"/>
    <w:rsid w:val="00154272"/>
    <w:rsid w:val="0015716F"/>
    <w:rsid w:val="00160B11"/>
    <w:rsid w:val="00180972"/>
    <w:rsid w:val="001865CF"/>
    <w:rsid w:val="001A5CD7"/>
    <w:rsid w:val="001A7210"/>
    <w:rsid w:val="001C6487"/>
    <w:rsid w:val="001D5E03"/>
    <w:rsid w:val="001F37E4"/>
    <w:rsid w:val="001F53C1"/>
    <w:rsid w:val="001F74C9"/>
    <w:rsid w:val="0020068A"/>
    <w:rsid w:val="00200C51"/>
    <w:rsid w:val="00204139"/>
    <w:rsid w:val="00205843"/>
    <w:rsid w:val="00206171"/>
    <w:rsid w:val="00234B90"/>
    <w:rsid w:val="00236FF5"/>
    <w:rsid w:val="002519DC"/>
    <w:rsid w:val="00256D08"/>
    <w:rsid w:val="00262885"/>
    <w:rsid w:val="00263258"/>
    <w:rsid w:val="0026485C"/>
    <w:rsid w:val="002677EA"/>
    <w:rsid w:val="00267AF7"/>
    <w:rsid w:val="0027714A"/>
    <w:rsid w:val="0028586F"/>
    <w:rsid w:val="002913BE"/>
    <w:rsid w:val="00291A3B"/>
    <w:rsid w:val="002935C7"/>
    <w:rsid w:val="00293F27"/>
    <w:rsid w:val="00294066"/>
    <w:rsid w:val="002B3161"/>
    <w:rsid w:val="002B4B5E"/>
    <w:rsid w:val="002B5651"/>
    <w:rsid w:val="002C45CD"/>
    <w:rsid w:val="002D0359"/>
    <w:rsid w:val="002D60AB"/>
    <w:rsid w:val="002D7D57"/>
    <w:rsid w:val="003103E0"/>
    <w:rsid w:val="00317975"/>
    <w:rsid w:val="00334939"/>
    <w:rsid w:val="003479F5"/>
    <w:rsid w:val="00350A45"/>
    <w:rsid w:val="00353303"/>
    <w:rsid w:val="003538BA"/>
    <w:rsid w:val="00363585"/>
    <w:rsid w:val="003674BC"/>
    <w:rsid w:val="003709D1"/>
    <w:rsid w:val="003721AD"/>
    <w:rsid w:val="003804CA"/>
    <w:rsid w:val="003C796B"/>
    <w:rsid w:val="003D5C10"/>
    <w:rsid w:val="003D6CC4"/>
    <w:rsid w:val="003E0D39"/>
    <w:rsid w:val="003F498C"/>
    <w:rsid w:val="003F5928"/>
    <w:rsid w:val="00402257"/>
    <w:rsid w:val="004043EE"/>
    <w:rsid w:val="004127A7"/>
    <w:rsid w:val="004234F8"/>
    <w:rsid w:val="00426A68"/>
    <w:rsid w:val="004302A5"/>
    <w:rsid w:val="00431C49"/>
    <w:rsid w:val="00444880"/>
    <w:rsid w:val="004456AE"/>
    <w:rsid w:val="00451C49"/>
    <w:rsid w:val="00460CE9"/>
    <w:rsid w:val="004925A7"/>
    <w:rsid w:val="004937D5"/>
    <w:rsid w:val="00495306"/>
    <w:rsid w:val="004975DB"/>
    <w:rsid w:val="004A2E88"/>
    <w:rsid w:val="004A4029"/>
    <w:rsid w:val="004B21B7"/>
    <w:rsid w:val="004B52FE"/>
    <w:rsid w:val="004B7107"/>
    <w:rsid w:val="004C7109"/>
    <w:rsid w:val="004D7BB2"/>
    <w:rsid w:val="004E0486"/>
    <w:rsid w:val="004E1108"/>
    <w:rsid w:val="004F5F71"/>
    <w:rsid w:val="00503830"/>
    <w:rsid w:val="00505CA3"/>
    <w:rsid w:val="00512B6A"/>
    <w:rsid w:val="00517166"/>
    <w:rsid w:val="005247D3"/>
    <w:rsid w:val="0053303A"/>
    <w:rsid w:val="00543F12"/>
    <w:rsid w:val="00544B2C"/>
    <w:rsid w:val="00555BD5"/>
    <w:rsid w:val="0056415D"/>
    <w:rsid w:val="00567C52"/>
    <w:rsid w:val="00574FA0"/>
    <w:rsid w:val="00594B4B"/>
    <w:rsid w:val="005B09C0"/>
    <w:rsid w:val="005C00A3"/>
    <w:rsid w:val="005C15B9"/>
    <w:rsid w:val="005C54B6"/>
    <w:rsid w:val="005C6E5E"/>
    <w:rsid w:val="005D1927"/>
    <w:rsid w:val="005D5239"/>
    <w:rsid w:val="005D5A95"/>
    <w:rsid w:val="005F0289"/>
    <w:rsid w:val="005F34B2"/>
    <w:rsid w:val="00602F6E"/>
    <w:rsid w:val="00603815"/>
    <w:rsid w:val="00627DA6"/>
    <w:rsid w:val="00645A13"/>
    <w:rsid w:val="00651044"/>
    <w:rsid w:val="00654BA9"/>
    <w:rsid w:val="006637C4"/>
    <w:rsid w:val="00664C74"/>
    <w:rsid w:val="00666DE7"/>
    <w:rsid w:val="006814AA"/>
    <w:rsid w:val="006A2C1A"/>
    <w:rsid w:val="006A7E62"/>
    <w:rsid w:val="006B5C69"/>
    <w:rsid w:val="006B75DE"/>
    <w:rsid w:val="006C202E"/>
    <w:rsid w:val="006C297C"/>
    <w:rsid w:val="006D40F2"/>
    <w:rsid w:val="006E1177"/>
    <w:rsid w:val="006E38E2"/>
    <w:rsid w:val="006F416F"/>
    <w:rsid w:val="00706DAC"/>
    <w:rsid w:val="007127DF"/>
    <w:rsid w:val="00720A26"/>
    <w:rsid w:val="00743718"/>
    <w:rsid w:val="00760E35"/>
    <w:rsid w:val="00761A07"/>
    <w:rsid w:val="00761D0E"/>
    <w:rsid w:val="0076367B"/>
    <w:rsid w:val="00770067"/>
    <w:rsid w:val="00780FE8"/>
    <w:rsid w:val="00792979"/>
    <w:rsid w:val="007945E6"/>
    <w:rsid w:val="007952BA"/>
    <w:rsid w:val="007B39E4"/>
    <w:rsid w:val="007C3804"/>
    <w:rsid w:val="007C3EDB"/>
    <w:rsid w:val="007C454C"/>
    <w:rsid w:val="007C7F28"/>
    <w:rsid w:val="007E6DB3"/>
    <w:rsid w:val="007F4294"/>
    <w:rsid w:val="00815919"/>
    <w:rsid w:val="00815AFC"/>
    <w:rsid w:val="008164AD"/>
    <w:rsid w:val="008213FA"/>
    <w:rsid w:val="008228C1"/>
    <w:rsid w:val="008434F3"/>
    <w:rsid w:val="008503C3"/>
    <w:rsid w:val="008522F8"/>
    <w:rsid w:val="00855DF6"/>
    <w:rsid w:val="00872FD1"/>
    <w:rsid w:val="008732C8"/>
    <w:rsid w:val="00876CEF"/>
    <w:rsid w:val="008A2C6D"/>
    <w:rsid w:val="008B1550"/>
    <w:rsid w:val="008B2BC8"/>
    <w:rsid w:val="00914CD1"/>
    <w:rsid w:val="009174D5"/>
    <w:rsid w:val="0092084B"/>
    <w:rsid w:val="0092508A"/>
    <w:rsid w:val="009255B9"/>
    <w:rsid w:val="00926934"/>
    <w:rsid w:val="0093124F"/>
    <w:rsid w:val="0094243B"/>
    <w:rsid w:val="00943970"/>
    <w:rsid w:val="00961789"/>
    <w:rsid w:val="009649A5"/>
    <w:rsid w:val="009726E5"/>
    <w:rsid w:val="00980F69"/>
    <w:rsid w:val="00984AC0"/>
    <w:rsid w:val="009B3ABD"/>
    <w:rsid w:val="009C3581"/>
    <w:rsid w:val="009C4930"/>
    <w:rsid w:val="009C5EFF"/>
    <w:rsid w:val="009D471B"/>
    <w:rsid w:val="009F2F5E"/>
    <w:rsid w:val="009F5BD0"/>
    <w:rsid w:val="00A02CEF"/>
    <w:rsid w:val="00A044CC"/>
    <w:rsid w:val="00A2497B"/>
    <w:rsid w:val="00A24DF2"/>
    <w:rsid w:val="00A31547"/>
    <w:rsid w:val="00A33BA6"/>
    <w:rsid w:val="00A357F9"/>
    <w:rsid w:val="00A3633E"/>
    <w:rsid w:val="00A43241"/>
    <w:rsid w:val="00A62C04"/>
    <w:rsid w:val="00A714E4"/>
    <w:rsid w:val="00A76C39"/>
    <w:rsid w:val="00A81EF2"/>
    <w:rsid w:val="00A823F8"/>
    <w:rsid w:val="00A86909"/>
    <w:rsid w:val="00A93CD4"/>
    <w:rsid w:val="00A944CC"/>
    <w:rsid w:val="00AA23DA"/>
    <w:rsid w:val="00AA513F"/>
    <w:rsid w:val="00AC1BCE"/>
    <w:rsid w:val="00AC3062"/>
    <w:rsid w:val="00AD1887"/>
    <w:rsid w:val="00AD20FA"/>
    <w:rsid w:val="00AE0868"/>
    <w:rsid w:val="00AE4C87"/>
    <w:rsid w:val="00AF31BD"/>
    <w:rsid w:val="00AF77FC"/>
    <w:rsid w:val="00B06ABE"/>
    <w:rsid w:val="00B21146"/>
    <w:rsid w:val="00B253EC"/>
    <w:rsid w:val="00B33557"/>
    <w:rsid w:val="00B432BA"/>
    <w:rsid w:val="00B52775"/>
    <w:rsid w:val="00B57BF3"/>
    <w:rsid w:val="00B57C9E"/>
    <w:rsid w:val="00B70654"/>
    <w:rsid w:val="00B926BB"/>
    <w:rsid w:val="00B93E8B"/>
    <w:rsid w:val="00BA2801"/>
    <w:rsid w:val="00BA691F"/>
    <w:rsid w:val="00BA7274"/>
    <w:rsid w:val="00BB038A"/>
    <w:rsid w:val="00BD653F"/>
    <w:rsid w:val="00BF08DF"/>
    <w:rsid w:val="00BF4448"/>
    <w:rsid w:val="00C21D60"/>
    <w:rsid w:val="00C33D73"/>
    <w:rsid w:val="00C3638F"/>
    <w:rsid w:val="00C36A46"/>
    <w:rsid w:val="00C4213D"/>
    <w:rsid w:val="00C42446"/>
    <w:rsid w:val="00C450A1"/>
    <w:rsid w:val="00C56A19"/>
    <w:rsid w:val="00C6606B"/>
    <w:rsid w:val="00C77F6E"/>
    <w:rsid w:val="00C8244E"/>
    <w:rsid w:val="00CA5931"/>
    <w:rsid w:val="00CA59F0"/>
    <w:rsid w:val="00CC0922"/>
    <w:rsid w:val="00CC36DB"/>
    <w:rsid w:val="00CD3543"/>
    <w:rsid w:val="00CD3F1B"/>
    <w:rsid w:val="00CD5F29"/>
    <w:rsid w:val="00CD6DE3"/>
    <w:rsid w:val="00CF123C"/>
    <w:rsid w:val="00CF47CE"/>
    <w:rsid w:val="00D01FF3"/>
    <w:rsid w:val="00D10509"/>
    <w:rsid w:val="00D10D6F"/>
    <w:rsid w:val="00D1575B"/>
    <w:rsid w:val="00D32207"/>
    <w:rsid w:val="00D33A72"/>
    <w:rsid w:val="00D55B9F"/>
    <w:rsid w:val="00D572D4"/>
    <w:rsid w:val="00D6501B"/>
    <w:rsid w:val="00D730A4"/>
    <w:rsid w:val="00D759B2"/>
    <w:rsid w:val="00D81D75"/>
    <w:rsid w:val="00DA330F"/>
    <w:rsid w:val="00DA7755"/>
    <w:rsid w:val="00DC2C12"/>
    <w:rsid w:val="00DC6895"/>
    <w:rsid w:val="00DD3D03"/>
    <w:rsid w:val="00DE0DA5"/>
    <w:rsid w:val="00DE2443"/>
    <w:rsid w:val="00DE5FF3"/>
    <w:rsid w:val="00DE6DA6"/>
    <w:rsid w:val="00DE729C"/>
    <w:rsid w:val="00E00F52"/>
    <w:rsid w:val="00E118C0"/>
    <w:rsid w:val="00E22712"/>
    <w:rsid w:val="00E25402"/>
    <w:rsid w:val="00E264A8"/>
    <w:rsid w:val="00E26D3F"/>
    <w:rsid w:val="00E3717A"/>
    <w:rsid w:val="00E409BA"/>
    <w:rsid w:val="00E51791"/>
    <w:rsid w:val="00E5224F"/>
    <w:rsid w:val="00E5246F"/>
    <w:rsid w:val="00E620DB"/>
    <w:rsid w:val="00E64F25"/>
    <w:rsid w:val="00E66FA8"/>
    <w:rsid w:val="00E737D8"/>
    <w:rsid w:val="00E75E7F"/>
    <w:rsid w:val="00E96CFB"/>
    <w:rsid w:val="00EA7ACF"/>
    <w:rsid w:val="00EB3D43"/>
    <w:rsid w:val="00EC10EF"/>
    <w:rsid w:val="00EC299E"/>
    <w:rsid w:val="00ED393F"/>
    <w:rsid w:val="00EE5CD2"/>
    <w:rsid w:val="00EF29DA"/>
    <w:rsid w:val="00F06267"/>
    <w:rsid w:val="00F137A5"/>
    <w:rsid w:val="00F13E78"/>
    <w:rsid w:val="00F25F75"/>
    <w:rsid w:val="00F3193F"/>
    <w:rsid w:val="00F33227"/>
    <w:rsid w:val="00F3365B"/>
    <w:rsid w:val="00F37C23"/>
    <w:rsid w:val="00F434AF"/>
    <w:rsid w:val="00F57816"/>
    <w:rsid w:val="00F63669"/>
    <w:rsid w:val="00F72EC5"/>
    <w:rsid w:val="00F85869"/>
    <w:rsid w:val="00F92E57"/>
    <w:rsid w:val="00F96601"/>
    <w:rsid w:val="00FA063C"/>
    <w:rsid w:val="00FA1374"/>
    <w:rsid w:val="00FB47B5"/>
    <w:rsid w:val="00FC67CD"/>
    <w:rsid w:val="00FC69D9"/>
    <w:rsid w:val="00FC7A1A"/>
    <w:rsid w:val="00FF1D3D"/>
    <w:rsid w:val="00FF2826"/>
    <w:rsid w:val="00FF4C32"/>
    <w:rsid w:val="03197382"/>
    <w:rsid w:val="04727803"/>
    <w:rsid w:val="0F187A18"/>
    <w:rsid w:val="11391AAD"/>
    <w:rsid w:val="29F520E0"/>
    <w:rsid w:val="2E7215AC"/>
    <w:rsid w:val="4D142A2B"/>
    <w:rsid w:val="4F4B4E9C"/>
    <w:rsid w:val="7D20B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4E9C"/>
  <w15:chartTrackingRefBased/>
  <w15:docId w15:val="{156EFD33-EE22-417D-A72B-44B42621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7C52"/>
    <w:pPr>
      <w:spacing w:line="25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6DB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7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C5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67C5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B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4B2C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5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C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5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1">
    <w:name w:val="Grid Table 5 Dark Accent 1"/>
    <w:basedOn w:val="TableNormal"/>
    <w:uiPriority w:val="50"/>
    <w:rsid w:val="00B432B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B432BA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8A2C6D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3F1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D7BB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352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1D3D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CC36D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C36DB"/>
  </w:style>
  <w:style w:type="paragraph" w:styleId="Revision">
    <w:name w:val="Revision"/>
    <w:hidden/>
    <w:uiPriority w:val="99"/>
    <w:semiHidden/>
    <w:rsid w:val="002B4B5E"/>
    <w:pPr>
      <w:spacing w:after="0" w:line="240" w:lineRule="auto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7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33D7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D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15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154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315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15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regions/midwest/data/averageenergyprices_selectedareas_tab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ENE22</b:Tag>
    <b:SourceType>InternetSite</b:SourceType>
    <b:Guid>{F58D7B9B-240D-4873-B7E7-3CE7DC7397B3}</b:Guid>
    <b:Title>Energy Star Ask Experts: When Should You Replace Your Water Heater</b:Title>
    <b:YearAccessed>2022</b:YearAccessed>
    <b:Author>
      <b:Author>
        <b:Corporate>ENERGY STAR</b:Corporate>
      </b:Author>
    </b:Author>
    <b:URL>https://www.energystar.gov/products/ask-the-experts/when-should-you-replace-your-water-heater</b:URL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A1B0F-29FE-4789-8715-888172959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D96C4-CF5D-46FF-99D2-B1ED8C270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AE59A-C0D8-4970-91E6-CF7D44C63917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4.xml><?xml version="1.0" encoding="utf-8"?>
<ds:datastoreItem xmlns:ds="http://schemas.openxmlformats.org/officeDocument/2006/customXml" ds:itemID="{8B9080C4-A34A-4E34-BFEC-4310AB02EF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Rodriguez-Feo Bermudez, Eduardo</dc:creator>
  <keywords/>
  <dc:description/>
  <lastModifiedBy>Degan, Charles P</lastModifiedBy>
  <revision>320</revision>
  <dcterms:created xsi:type="dcterms:W3CDTF">2022-04-21T23:54:00.0000000Z</dcterms:created>
  <dcterms:modified xsi:type="dcterms:W3CDTF">2024-06-12T20:57:14.5000860Z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