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E20A9" w:rsidRDefault="00E5122F" w14:paraId="2170DA85" w14:textId="711416B6">
      <w:pPr>
        <w:rPr>
          <w:rFonts w:ascii="Calibri" w:hAnsi="Calibri" w:eastAsia="Calibri" w:cs="Calibri"/>
          <w:b/>
          <w:bCs/>
        </w:rPr>
      </w:pPr>
      <w:r w:rsidRPr="51C7D1FC">
        <w:rPr>
          <w:rFonts w:ascii="Calibri" w:hAnsi="Calibri" w:eastAsia="Calibri" w:cs="Calibri"/>
          <w:b/>
          <w:bCs/>
        </w:rPr>
        <w:t>Building Science Education Solution Center</w:t>
      </w:r>
      <w:r>
        <w:rPr>
          <w:rFonts w:ascii="Calibri" w:hAnsi="Calibri" w:eastAsia="Calibri" w:cs="Calibri"/>
          <w:b/>
          <w:bCs/>
        </w:rPr>
        <w:t xml:space="preserve"> – </w:t>
      </w:r>
      <w:r w:rsidRPr="00D5752C" w:rsidR="00A745D9">
        <w:rPr>
          <w:rFonts w:ascii="Calibri" w:hAnsi="Calibri" w:eastAsia="Calibri" w:cs="Calibri"/>
          <w:b/>
          <w:bCs/>
        </w:rPr>
        <w:t>Heat Pump Water Heater Business Development.</w:t>
      </w:r>
      <w:r w:rsidR="00A745D9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="00E5122F" w:rsidRDefault="00E5122F" w14:paraId="61BC58E9" w14:textId="77777777">
      <w:pPr>
        <w:rPr>
          <w:rFonts w:ascii="Calibri" w:hAnsi="Calibri" w:eastAsia="Calibri" w:cs="Calibri"/>
          <w:b/>
          <w:bCs/>
        </w:rPr>
      </w:pPr>
    </w:p>
    <w:p w:rsidR="00E5122F" w:rsidRDefault="00E5122F" w14:paraId="05E621A7" w14:textId="3C88556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Proficiency </w:t>
      </w:r>
      <w:r w:rsidR="008E0EC2">
        <w:rPr>
          <w:rFonts w:ascii="Calibri" w:hAnsi="Calibri" w:eastAsia="Calibri" w:cs="Calibri"/>
        </w:rPr>
        <w:t xml:space="preserve">Level </w:t>
      </w:r>
      <w:r w:rsidR="002A3722">
        <w:rPr>
          <w:rFonts w:ascii="Calibri" w:hAnsi="Calibri" w:eastAsia="Calibri" w:cs="Calibri"/>
        </w:rPr>
        <w:t>2: Understand</w:t>
      </w:r>
    </w:p>
    <w:p w:rsidRPr="00F261EB" w:rsidR="005E20A9" w:rsidRDefault="005E20A9" w14:paraId="3C2B2FBF" w14:textId="77777777">
      <w:pPr>
        <w:rPr>
          <w:rFonts w:ascii="Calibri" w:hAnsi="Calibri" w:eastAsia="Calibri" w:cs="Calibri"/>
        </w:rPr>
      </w:pPr>
    </w:p>
    <w:p w:rsidR="00B30F84" w:rsidP="00B30F84" w:rsidRDefault="00B30F84" w14:paraId="1CE2528F" w14:textId="04462407">
      <w:pPr>
        <w:rPr>
          <w:rFonts w:ascii="Calibri" w:hAnsi="Calibri" w:eastAsia="Calibri" w:cs="Calibri"/>
          <w:b/>
          <w:bCs/>
          <w:i/>
          <w:iCs/>
          <w:u w:val="single"/>
        </w:rPr>
      </w:pPr>
      <w:r w:rsidRPr="00E5122F">
        <w:rPr>
          <w:rFonts w:ascii="Calibri" w:hAnsi="Calibri" w:eastAsia="Calibri" w:cs="Calibri"/>
          <w:b/>
          <w:bCs/>
          <w:u w:val="single"/>
        </w:rPr>
        <w:t xml:space="preserve">Learning Objective </w:t>
      </w:r>
      <w:r>
        <w:rPr>
          <w:rFonts w:ascii="Calibri" w:hAnsi="Calibri" w:eastAsia="Calibri" w:cs="Calibri"/>
          <w:b/>
          <w:bCs/>
          <w:u w:val="single"/>
        </w:rPr>
        <w:t>2.1</w:t>
      </w:r>
      <w:r w:rsidRPr="00E5122F">
        <w:rPr>
          <w:rFonts w:ascii="Calibri" w:hAnsi="Calibri" w:eastAsia="Calibri" w:cs="Calibri"/>
          <w:b/>
          <w:bCs/>
          <w:i/>
          <w:iCs/>
          <w:u w:val="single"/>
        </w:rPr>
        <w:t>:</w:t>
      </w:r>
    </w:p>
    <w:p w:rsidRPr="00A745D9" w:rsidR="00B30F84" w:rsidP="00B30F84" w:rsidRDefault="00F667EB" w14:paraId="3185E73B" w14:textId="66F5EEB6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b/>
          <w:bCs/>
          <w:u w:val="single"/>
        </w:rPr>
      </w:pPr>
      <w:r>
        <w:rPr>
          <w:rFonts w:ascii="Calibri" w:hAnsi="Calibri" w:eastAsia="Calibri" w:cs="Calibri"/>
        </w:rPr>
        <w:t>Articulate</w:t>
      </w:r>
      <w:r w:rsidR="00725272">
        <w:rPr>
          <w:rFonts w:ascii="Calibri" w:hAnsi="Calibri" w:eastAsia="Calibri" w:cs="Calibri"/>
        </w:rPr>
        <w:t xml:space="preserve"> </w:t>
      </w:r>
      <w:r w:rsidR="00752B89">
        <w:rPr>
          <w:rFonts w:ascii="Calibri" w:hAnsi="Calibri" w:eastAsia="Calibri" w:cs="Calibri"/>
        </w:rPr>
        <w:t>what</w:t>
      </w:r>
      <w:r w:rsidR="00B80048">
        <w:rPr>
          <w:rFonts w:ascii="Calibri" w:hAnsi="Calibri" w:eastAsia="Calibri" w:cs="Calibri"/>
        </w:rPr>
        <w:t xml:space="preserve"> benefits of a HPWH </w:t>
      </w:r>
      <w:r w:rsidR="00E06A1A">
        <w:rPr>
          <w:rFonts w:ascii="Calibri" w:hAnsi="Calibri" w:eastAsia="Calibri" w:cs="Calibri"/>
        </w:rPr>
        <w:t>should be communicated to a customer</w:t>
      </w:r>
      <w:r w:rsidR="00182B92">
        <w:rPr>
          <w:rFonts w:ascii="Calibri" w:hAnsi="Calibri" w:eastAsia="Calibri" w:cs="Calibri"/>
        </w:rPr>
        <w:t xml:space="preserve"> to facili</w:t>
      </w:r>
      <w:r w:rsidR="008757F3">
        <w:rPr>
          <w:rFonts w:ascii="Calibri" w:hAnsi="Calibri" w:eastAsia="Calibri" w:cs="Calibri"/>
        </w:rPr>
        <w:t>tate a sale.</w:t>
      </w:r>
    </w:p>
    <w:p w:rsidR="00F62277" w:rsidP="00B30F84" w:rsidRDefault="00B30F84" w14:paraId="6BFBBE68" w14:textId="4B37C4DD">
      <w:pPr>
        <w:rPr>
          <w:rFonts w:ascii="Calibri" w:hAnsi="Calibri" w:eastAsia="Calibri" w:cs="Calibri"/>
          <w:b/>
          <w:bCs/>
          <w:u w:val="single"/>
        </w:rPr>
      </w:pPr>
      <w:r>
        <w:rPr>
          <w:rFonts w:ascii="Calibri" w:hAnsi="Calibri" w:eastAsia="Calibri" w:cs="Calibri"/>
          <w:b/>
          <w:bCs/>
          <w:u w:val="single"/>
        </w:rPr>
        <w:t xml:space="preserve">Lecture Notes </w:t>
      </w:r>
      <w:r w:rsidRPr="00B30F84">
        <w:rPr>
          <w:rFonts w:ascii="Calibri" w:hAnsi="Calibri" w:eastAsia="Calibri" w:cs="Calibri"/>
          <w:b/>
          <w:bCs/>
          <w:u w:val="single"/>
        </w:rPr>
        <w:t>2.1:</w:t>
      </w:r>
    </w:p>
    <w:p w:rsidR="00773458" w:rsidP="00B30F84" w:rsidRDefault="00773458" w14:paraId="5C986000" w14:textId="3276700C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References</w:t>
      </w:r>
      <w:r w:rsidR="00BA2865">
        <w:rPr>
          <w:rFonts w:ascii="Calibri" w:hAnsi="Calibri" w:eastAsia="Calibri" w:cs="Calibri"/>
        </w:rPr>
        <w:t>:</w:t>
      </w:r>
    </w:p>
    <w:p w:rsidRPr="00773458" w:rsidR="004966EC" w:rsidP="00B30F84" w:rsidRDefault="004966EC" w14:paraId="6E525660" w14:textId="77777777">
      <w:pPr>
        <w:rPr>
          <w:rFonts w:ascii="Calibri" w:hAnsi="Calibri" w:eastAsia="Calibri" w:cs="Calibri"/>
        </w:rPr>
      </w:pPr>
    </w:p>
    <w:p w:rsidR="00ED1A52" w:rsidRDefault="00B30F84" w14:paraId="4E9EF48B" w14:textId="3B441069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u w:val="single"/>
        </w:rPr>
        <w:t>Communication</w:t>
      </w:r>
      <w:r>
        <w:rPr>
          <w:rFonts w:ascii="Calibri" w:hAnsi="Calibri" w:eastAsia="Calibri" w:cs="Calibri"/>
          <w:b/>
          <w:bCs/>
          <w:u w:val="single"/>
        </w:rPr>
        <w:br/>
      </w:r>
      <w:r>
        <w:rPr>
          <w:rFonts w:ascii="Calibri" w:hAnsi="Calibri" w:eastAsia="Calibri" w:cs="Calibri"/>
        </w:rPr>
        <w:t>In order to increase the sales and market value of heat pump water heaters (HPWH), it is important for businesses to be able to communicate the benefits of HPWH</w:t>
      </w:r>
      <w:r w:rsidR="00641E19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 xml:space="preserve"> to the customers. Such benefits include</w:t>
      </w:r>
      <w:r w:rsidR="00F00BA3"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reduced operating costs, rebate programs that reduce the initial purchasing price, additional cooling provided by the HPWH, and combustion safety.</w:t>
      </w:r>
      <w:r w:rsidR="00E953AA">
        <w:rPr>
          <w:rFonts w:ascii="Calibri" w:hAnsi="Calibri" w:eastAsia="Calibri" w:cs="Calibri"/>
        </w:rPr>
        <w:t xml:space="preserve"> </w:t>
      </w:r>
      <w:r w:rsidR="00CD7BB3">
        <w:rPr>
          <w:rFonts w:ascii="Calibri" w:hAnsi="Calibri" w:eastAsia="Calibri" w:cs="Calibri"/>
        </w:rPr>
        <w:t>Emphasis</w:t>
      </w:r>
      <w:r w:rsidR="00ED1A52">
        <w:rPr>
          <w:rFonts w:ascii="Calibri" w:hAnsi="Calibri" w:eastAsia="Calibri" w:cs="Calibri"/>
        </w:rPr>
        <w:t xml:space="preserve"> should be placed on the lower operating </w:t>
      </w:r>
      <w:r w:rsidR="00CD7BB3">
        <w:rPr>
          <w:rFonts w:ascii="Calibri" w:hAnsi="Calibri" w:eastAsia="Calibri" w:cs="Calibri"/>
        </w:rPr>
        <w:t xml:space="preserve">costs, and how long it takes for it to offset the initial </w:t>
      </w:r>
      <w:r w:rsidR="00E953AA">
        <w:rPr>
          <w:rFonts w:ascii="Calibri" w:hAnsi="Calibri" w:eastAsia="Calibri" w:cs="Calibri"/>
        </w:rPr>
        <w:t>higher</w:t>
      </w:r>
      <w:r w:rsidR="00FB60A4">
        <w:rPr>
          <w:rFonts w:ascii="Calibri" w:hAnsi="Calibri" w:eastAsia="Calibri" w:cs="Calibri"/>
        </w:rPr>
        <w:t xml:space="preserve"> purchasing price of a HPWH, relative to that of a conventional gas</w:t>
      </w:r>
      <w:r w:rsidR="00E953AA">
        <w:rPr>
          <w:rFonts w:ascii="Calibri" w:hAnsi="Calibri" w:eastAsia="Calibri" w:cs="Calibri"/>
        </w:rPr>
        <w:t xml:space="preserve">/oil/electric water heater. </w:t>
      </w:r>
    </w:p>
    <w:p w:rsidR="00F64D36" w:rsidRDefault="00F61B75" w14:paraId="52863B09" w14:textId="77C3B965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</w:t>
      </w:r>
      <w:r w:rsidR="00B30F84">
        <w:rPr>
          <w:rFonts w:ascii="Calibri" w:hAnsi="Calibri" w:eastAsia="Calibri" w:cs="Calibri"/>
        </w:rPr>
        <w:t xml:space="preserve">evel 2 of </w:t>
      </w:r>
      <w:r w:rsidR="00B30F84">
        <w:rPr>
          <w:rFonts w:ascii="Calibri" w:hAnsi="Calibri" w:eastAsia="Calibri" w:cs="Calibri"/>
          <w:b/>
          <w:bCs/>
          <w:u w:val="single"/>
        </w:rPr>
        <w:t>Introduction to Heat Pump Water Heater</w:t>
      </w:r>
      <w:r w:rsidR="00B30F84">
        <w:rPr>
          <w:rFonts w:ascii="Calibri" w:hAnsi="Calibri" w:eastAsia="Calibri" w:cs="Calibri"/>
        </w:rPr>
        <w:t xml:space="preserve"> go</w:t>
      </w:r>
      <w:r w:rsidR="006F2BC3">
        <w:rPr>
          <w:rFonts w:ascii="Calibri" w:hAnsi="Calibri" w:eastAsia="Calibri" w:cs="Calibri"/>
        </w:rPr>
        <w:t>e</w:t>
      </w:r>
      <w:r w:rsidR="00B30F84">
        <w:rPr>
          <w:rFonts w:ascii="Calibri" w:hAnsi="Calibri" w:eastAsia="Calibri" w:cs="Calibri"/>
        </w:rPr>
        <w:t xml:space="preserve">s into further </w:t>
      </w:r>
      <w:r w:rsidR="00FF68B6">
        <w:rPr>
          <w:rFonts w:ascii="Calibri" w:hAnsi="Calibri" w:eastAsia="Calibri" w:cs="Calibri"/>
        </w:rPr>
        <w:t>detail</w:t>
      </w:r>
      <w:r w:rsidR="00B30F84">
        <w:rPr>
          <w:rFonts w:ascii="Calibri" w:hAnsi="Calibri" w:eastAsia="Calibri" w:cs="Calibri"/>
        </w:rPr>
        <w:t xml:space="preserve"> as to</w:t>
      </w:r>
      <w:r w:rsidR="009E5622">
        <w:rPr>
          <w:rFonts w:ascii="Calibri" w:hAnsi="Calibri" w:eastAsia="Calibri" w:cs="Calibri"/>
        </w:rPr>
        <w:t xml:space="preserve"> </w:t>
      </w:r>
      <w:r w:rsidR="00D608A5">
        <w:rPr>
          <w:rFonts w:ascii="Calibri" w:hAnsi="Calibri" w:eastAsia="Calibri" w:cs="Calibri"/>
        </w:rPr>
        <w:t>the general benefits of HPWHs, both financial and non-financial</w:t>
      </w:r>
      <w:r w:rsidR="00B30F84">
        <w:rPr>
          <w:rFonts w:ascii="Calibri" w:hAnsi="Calibri" w:eastAsia="Calibri" w:cs="Calibri"/>
        </w:rPr>
        <w:t xml:space="preserve">. </w:t>
      </w:r>
      <w:r w:rsidR="00F64D36">
        <w:rPr>
          <w:rFonts w:ascii="Calibri" w:hAnsi="Calibri" w:eastAsia="Calibri" w:cs="Calibri"/>
        </w:rPr>
        <w:t>Additionally,</w:t>
      </w:r>
      <w:r w:rsidR="00B30F84">
        <w:rPr>
          <w:rFonts w:ascii="Calibri" w:hAnsi="Calibri" w:eastAsia="Calibri" w:cs="Calibri"/>
        </w:rPr>
        <w:t xml:space="preserve"> </w:t>
      </w:r>
      <w:r w:rsidR="00356979">
        <w:rPr>
          <w:rFonts w:ascii="Calibri" w:hAnsi="Calibri" w:eastAsia="Calibri" w:cs="Calibri"/>
        </w:rPr>
        <w:t>l</w:t>
      </w:r>
      <w:r w:rsidR="00B30F84">
        <w:rPr>
          <w:rFonts w:ascii="Calibri" w:hAnsi="Calibri" w:eastAsia="Calibri" w:cs="Calibri"/>
        </w:rPr>
        <w:t xml:space="preserve">evel 3 of </w:t>
      </w:r>
      <w:r w:rsidR="00064F53">
        <w:rPr>
          <w:rFonts w:ascii="Calibri" w:hAnsi="Calibri" w:eastAsia="Calibri" w:cs="Calibri"/>
          <w:b/>
          <w:bCs/>
          <w:u w:val="single"/>
        </w:rPr>
        <w:t>Introduction to Heat Pump Water Heater</w:t>
      </w:r>
      <w:r w:rsidR="00064F53">
        <w:rPr>
          <w:rFonts w:ascii="Calibri" w:hAnsi="Calibri" w:eastAsia="Calibri" w:cs="Calibri"/>
        </w:rPr>
        <w:t xml:space="preserve"> </w:t>
      </w:r>
      <w:r w:rsidR="00B30F84">
        <w:rPr>
          <w:rFonts w:ascii="Calibri" w:hAnsi="Calibri" w:eastAsia="Calibri" w:cs="Calibri"/>
        </w:rPr>
        <w:t xml:space="preserve">provides tables, equations, and calculations that can be used as an example of energy and operation costs savings for the customer. </w:t>
      </w:r>
      <w:r w:rsidR="00064F53">
        <w:rPr>
          <w:rFonts w:ascii="Calibri" w:hAnsi="Calibri" w:eastAsia="Calibri" w:cs="Calibri"/>
        </w:rPr>
        <w:t xml:space="preserve">A seller should be familiar with these numerical operations, so that they may communicate them effectively to </w:t>
      </w:r>
      <w:r w:rsidR="00773458">
        <w:rPr>
          <w:rFonts w:ascii="Calibri" w:hAnsi="Calibri" w:eastAsia="Calibri" w:cs="Calibri"/>
        </w:rPr>
        <w:t>potential</w:t>
      </w:r>
      <w:r w:rsidR="00064F53">
        <w:rPr>
          <w:rFonts w:ascii="Calibri" w:hAnsi="Calibri" w:eastAsia="Calibri" w:cs="Calibri"/>
        </w:rPr>
        <w:t xml:space="preserve"> customers. </w:t>
      </w:r>
    </w:p>
    <w:p w:rsidRPr="00B30F84" w:rsidR="00B30F84" w:rsidRDefault="00F64D36" w14:paraId="631CD927" w14:textId="76B4EC6A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Other benefits that can communicated to a prospective customer about HPWH</w:t>
      </w:r>
      <w:r w:rsidR="00641E19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 xml:space="preserve"> can be found below. </w:t>
      </w:r>
    </w:p>
    <w:p w:rsidR="00F64D36" w:rsidP="00F64D36" w:rsidRDefault="00F64D36" w14:paraId="3FC57496" w14:textId="77777777">
      <w:pPr>
        <w:pStyle w:val="ListParagraph"/>
        <w:numPr>
          <w:ilvl w:val="0"/>
          <w:numId w:val="8"/>
        </w:numPr>
        <w:spacing w:line="256" w:lineRule="auto"/>
      </w:pPr>
      <w:r>
        <w:t>Lower Operating Cost</w:t>
      </w:r>
    </w:p>
    <w:p w:rsidR="00F64D36" w:rsidP="00F64D36" w:rsidRDefault="00F64D36" w14:paraId="151680E0" w14:textId="77777777">
      <w:pPr>
        <w:pStyle w:val="ListParagraph"/>
        <w:numPr>
          <w:ilvl w:val="0"/>
          <w:numId w:val="8"/>
        </w:numPr>
        <w:spacing w:line="256" w:lineRule="auto"/>
      </w:pPr>
      <w:r>
        <w:t>Available rebates and incentives</w:t>
      </w:r>
    </w:p>
    <w:p w:rsidR="00F64D36" w:rsidP="00F64D36" w:rsidRDefault="00F64D36" w14:paraId="1B5AD7CF" w14:textId="77777777">
      <w:pPr>
        <w:pStyle w:val="ListParagraph"/>
        <w:numPr>
          <w:ilvl w:val="0"/>
          <w:numId w:val="8"/>
        </w:numPr>
        <w:spacing w:line="256" w:lineRule="auto"/>
      </w:pPr>
      <w:r>
        <w:t>Safer operating mechanism</w:t>
      </w:r>
    </w:p>
    <w:p w:rsidR="00F64D36" w:rsidP="00F64D36" w:rsidRDefault="00F64D36" w14:paraId="0715F027" w14:textId="77777777">
      <w:pPr>
        <w:pStyle w:val="ListParagraph"/>
        <w:numPr>
          <w:ilvl w:val="0"/>
          <w:numId w:val="8"/>
        </w:numPr>
        <w:spacing w:line="256" w:lineRule="auto"/>
      </w:pPr>
      <w:r>
        <w:t>L</w:t>
      </w:r>
      <w:r w:rsidRPr="0087438D">
        <w:t>ower greenhouse gas emission</w:t>
      </w:r>
      <w:r>
        <w:t>s</w:t>
      </w:r>
    </w:p>
    <w:p w:rsidR="00F64D36" w:rsidP="00F64D36" w:rsidRDefault="00F64D36" w14:paraId="6FAAB460" w14:textId="77777777">
      <w:pPr>
        <w:pStyle w:val="ListParagraph"/>
        <w:numPr>
          <w:ilvl w:val="0"/>
          <w:numId w:val="8"/>
        </w:numPr>
        <w:spacing w:line="256" w:lineRule="auto"/>
      </w:pPr>
      <w:r>
        <w:t>L</w:t>
      </w:r>
      <w:r w:rsidRPr="0087438D">
        <w:t>onger lifetime of the unit</w:t>
      </w:r>
    </w:p>
    <w:p w:rsidRPr="008E0B32" w:rsidR="005F488A" w:rsidP="005F488A" w:rsidRDefault="00F64D36" w14:paraId="476D12A1" w14:textId="39D3725C">
      <w:pPr>
        <w:pStyle w:val="ListParagraph"/>
        <w:numPr>
          <w:ilvl w:val="0"/>
          <w:numId w:val="8"/>
        </w:numPr>
        <w:spacing w:line="256" w:lineRule="auto"/>
      </w:pPr>
      <w:r>
        <w:t>D</w:t>
      </w:r>
      <w:r w:rsidRPr="0087438D">
        <w:t xml:space="preserve">emand response / grid </w:t>
      </w:r>
      <w:r>
        <w:t>interactive</w:t>
      </w:r>
    </w:p>
    <w:p w:rsidR="00B30F84" w:rsidRDefault="00864222" w14:paraId="4FF13FA2" w14:textId="1FD83D86">
      <w:pPr>
        <w:rPr>
          <w:rFonts w:ascii="Calibri" w:hAnsi="Calibri" w:eastAsia="Calibri" w:cs="Calibri"/>
          <w:b/>
          <w:bCs/>
          <w:u w:val="single"/>
        </w:rPr>
      </w:pPr>
      <w:r>
        <w:rPr>
          <w:rFonts w:ascii="Calibri" w:hAnsi="Calibri" w:eastAsia="Calibri" w:cs="Calibri"/>
          <w:b/>
          <w:bCs/>
          <w:u w:val="single"/>
        </w:rPr>
        <w:t>Problem Set 2.1:</w:t>
      </w:r>
    </w:p>
    <w:p w:rsidR="00864222" w:rsidP="00864222" w:rsidRDefault="00864222" w14:paraId="45BD06A9" w14:textId="73A48F02">
      <w:pPr>
        <w:pStyle w:val="ListParagraph"/>
        <w:numPr>
          <w:ilvl w:val="0"/>
          <w:numId w:val="9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What are two of the benefits of HPWH that can be communicated to the customer in order to facilitate the sale of HPWH?</w:t>
      </w:r>
    </w:p>
    <w:p w:rsidRPr="00864222" w:rsidR="00864222" w:rsidP="00864222" w:rsidRDefault="00864222" w14:paraId="0B0F3C09" w14:textId="77777777">
      <w:pPr>
        <w:pStyle w:val="ListParagraph"/>
        <w:rPr>
          <w:rFonts w:ascii="Calibri" w:hAnsi="Calibri" w:eastAsia="Calibri" w:cs="Calibri"/>
        </w:rPr>
      </w:pPr>
    </w:p>
    <w:p w:rsidR="00E5122F" w:rsidRDefault="00E5122F" w14:paraId="419A51A0" w14:textId="3D9F12F9">
      <w:pPr>
        <w:rPr>
          <w:rFonts w:ascii="Calibri" w:hAnsi="Calibri" w:eastAsia="Calibri" w:cs="Calibri"/>
          <w:b/>
          <w:bCs/>
          <w:i/>
          <w:iCs/>
          <w:u w:val="single"/>
        </w:rPr>
      </w:pPr>
      <w:r w:rsidRPr="00E5122F">
        <w:rPr>
          <w:rFonts w:ascii="Calibri" w:hAnsi="Calibri" w:eastAsia="Calibri" w:cs="Calibri"/>
          <w:b/>
          <w:bCs/>
          <w:u w:val="single"/>
        </w:rPr>
        <w:t xml:space="preserve">Learning Objective </w:t>
      </w:r>
      <w:r w:rsidRPr="002D0DBD" w:rsidR="002D0DBD">
        <w:rPr>
          <w:rFonts w:ascii="Calibri" w:hAnsi="Calibri" w:eastAsia="Calibri" w:cs="Calibri"/>
          <w:b/>
          <w:bCs/>
          <w:u w:val="single"/>
        </w:rPr>
        <w:t>2.2</w:t>
      </w:r>
      <w:r w:rsidRPr="002D0DBD">
        <w:rPr>
          <w:rFonts w:ascii="Calibri" w:hAnsi="Calibri" w:eastAsia="Calibri" w:cs="Calibri"/>
          <w:b/>
          <w:bCs/>
          <w:u w:val="single"/>
        </w:rPr>
        <w:t>:</w:t>
      </w:r>
    </w:p>
    <w:p w:rsidR="002D0DBD" w:rsidP="43A0D613" w:rsidRDefault="002215E4" w14:paraId="2FEDF767" w14:textId="79DAAFA3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cs="Calibri" w:cstheme="minorAscii"/>
        </w:rPr>
      </w:pPr>
      <w:r w:rsidRPr="43A0D613" w:rsidR="3C292F1F">
        <w:rPr>
          <w:rFonts w:cs="Calibri" w:cstheme="minorAscii"/>
        </w:rPr>
        <w:t>Discuss</w:t>
      </w:r>
      <w:r w:rsidRPr="43A0D613" w:rsidR="002215E4">
        <w:rPr>
          <w:rFonts w:cs="Calibri" w:cstheme="minorAscii"/>
        </w:rPr>
        <w:t xml:space="preserve"> </w:t>
      </w:r>
      <w:r w:rsidRPr="43A0D613" w:rsidR="002D0DBD">
        <w:rPr>
          <w:rFonts w:cs="Calibri" w:cstheme="minorAscii"/>
        </w:rPr>
        <w:t>the market trends for heat pump water heaters a</w:t>
      </w:r>
      <w:r w:rsidRPr="43A0D613" w:rsidR="002B276A">
        <w:rPr>
          <w:rFonts w:cs="Calibri" w:cstheme="minorAscii"/>
        </w:rPr>
        <w:t xml:space="preserve">nd </w:t>
      </w:r>
      <w:r w:rsidRPr="43A0D613" w:rsidR="00414D45">
        <w:rPr>
          <w:rFonts w:cs="Calibri" w:cstheme="minorAscii"/>
        </w:rPr>
        <w:t xml:space="preserve">what causes </w:t>
      </w:r>
      <w:r w:rsidRPr="43A0D613" w:rsidR="00EC1242">
        <w:rPr>
          <w:rFonts w:cs="Calibri" w:cstheme="minorAscii"/>
        </w:rPr>
        <w:t>them.</w:t>
      </w:r>
    </w:p>
    <w:p w:rsidRPr="00F64D36" w:rsidR="00F64D36" w:rsidP="00F64D36" w:rsidRDefault="00F64D36" w14:paraId="776E3AFE" w14:textId="77777777">
      <w:pPr>
        <w:spacing w:after="0" w:line="240" w:lineRule="auto"/>
        <w:textAlignment w:val="baseline"/>
        <w:rPr>
          <w:rFonts w:cstheme="minorHAnsi"/>
        </w:rPr>
      </w:pPr>
    </w:p>
    <w:p w:rsidRPr="002D0DBD" w:rsidR="00E5122F" w:rsidP="00E5122F" w:rsidRDefault="00E5122F" w14:paraId="1ED4042C" w14:textId="58EDE92E">
      <w:pPr>
        <w:rPr>
          <w:rFonts w:ascii="Calibri" w:hAnsi="Calibri" w:eastAsia="Calibri" w:cs="Calibri"/>
          <w:b/>
          <w:bCs/>
          <w:u w:val="single"/>
        </w:rPr>
      </w:pPr>
      <w:r>
        <w:rPr>
          <w:rFonts w:ascii="Calibri" w:hAnsi="Calibri" w:eastAsia="Calibri" w:cs="Calibri"/>
          <w:b/>
          <w:bCs/>
          <w:u w:val="single"/>
        </w:rPr>
        <w:t xml:space="preserve">Lecture Notes </w:t>
      </w:r>
      <w:r w:rsidR="002D0DBD">
        <w:rPr>
          <w:rFonts w:ascii="Calibri" w:hAnsi="Calibri" w:eastAsia="Calibri" w:cs="Calibri"/>
          <w:b/>
          <w:bCs/>
          <w:u w:val="single"/>
        </w:rPr>
        <w:t>2.2:</w:t>
      </w:r>
    </w:p>
    <w:p w:rsidR="00E5122F" w:rsidP="00E5122F" w:rsidRDefault="00E5122F" w14:paraId="51A07F19" w14:textId="04A9C7E4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References:</w:t>
      </w:r>
    </w:p>
    <w:p w:rsidRPr="008A2FFE" w:rsidR="00D5752C" w:rsidP="00F37187" w:rsidRDefault="00D5752C" w14:paraId="79B1B149" w14:textId="67296D0C">
      <w:r w:rsidRPr="008A2FFE">
        <w:rPr>
          <w:rFonts w:ascii="Calibri" w:hAnsi="Calibri" w:eastAsia="Calibri" w:cs="Calibri"/>
        </w:rPr>
        <w:t>Northwest Heat Pump Water Heater Market</w:t>
      </w:r>
      <w:r w:rsidR="00EC086A">
        <w:rPr>
          <w:rFonts w:ascii="Calibri" w:hAnsi="Calibri" w:eastAsia="Calibri" w:cs="Calibri"/>
        </w:rPr>
        <w:t>.</w:t>
      </w:r>
      <w:r w:rsidRPr="008A2FFE">
        <w:rPr>
          <w:rFonts w:ascii="Calibri" w:hAnsi="Calibri" w:eastAsia="Calibri" w:cs="Calibri"/>
        </w:rPr>
        <w:t xml:space="preserve"> </w:t>
      </w:r>
      <w:r w:rsidRPr="00EC086A">
        <w:rPr>
          <w:rFonts w:ascii="Calibri" w:hAnsi="Calibri" w:eastAsia="Calibri" w:cs="Calibri"/>
          <w:i/>
          <w:iCs/>
        </w:rPr>
        <w:t>Progress Evaluation Report #6</w:t>
      </w:r>
      <w:r w:rsidR="00EC086A">
        <w:t>.</w:t>
      </w:r>
      <w:r w:rsidR="00C018FF">
        <w:t xml:space="preserve"> 2022, Accessed 2023.</w:t>
      </w:r>
      <w:r w:rsidR="00C018FF">
        <w:br/>
      </w:r>
      <w:r w:rsidR="00F37187">
        <w:tab/>
      </w:r>
      <w:r w:rsidR="00F37187">
        <w:t>&lt;</w:t>
      </w:r>
      <w:r w:rsidRPr="00F37187" w:rsidR="00F37187">
        <w:t xml:space="preserve"> https://neea.org/img/documents/Northwest-Heat-Pump-Water-Heater-Initiative-Market-</w:t>
      </w:r>
      <w:r w:rsidR="00F37187">
        <w:tab/>
      </w:r>
      <w:r w:rsidRPr="00F37187" w:rsidR="00F37187">
        <w:t>Progress-Evaluation-Report-6.pdf</w:t>
      </w:r>
      <w:r w:rsidR="00F37187">
        <w:t xml:space="preserve">&gt; </w:t>
      </w:r>
    </w:p>
    <w:p w:rsidRPr="008A2FFE" w:rsidR="00C21395" w:rsidP="005F448A" w:rsidRDefault="00991FF7" w14:paraId="3C2BD96F" w14:textId="6E6EFEA0">
      <w:pPr>
        <w:rPr>
          <w:rStyle w:val="Hyperlink"/>
        </w:rPr>
      </w:pPr>
      <w:r w:rsidRPr="008A2FFE">
        <w:rPr>
          <w:rFonts w:ascii="Calibri" w:hAnsi="Calibri" w:eastAsia="Calibri" w:cs="Calibri"/>
        </w:rPr>
        <w:t>Northwest Energy efficiency Alliance</w:t>
      </w:r>
      <w:r w:rsidR="00F37187">
        <w:rPr>
          <w:rFonts w:ascii="Calibri" w:hAnsi="Calibri" w:eastAsia="Calibri" w:cs="Calibri"/>
        </w:rPr>
        <w:t xml:space="preserve">. </w:t>
      </w:r>
      <w:r w:rsidRPr="00D111C5" w:rsidR="00D111C5">
        <w:rPr>
          <w:rFonts w:ascii="Calibri" w:hAnsi="Calibri" w:eastAsia="Calibri" w:cs="Calibri"/>
          <w:i/>
          <w:iCs/>
        </w:rPr>
        <w:t>Water Heater Market Characterization Report</w:t>
      </w:r>
      <w:r w:rsidR="00D111C5">
        <w:rPr>
          <w:rFonts w:ascii="Calibri" w:hAnsi="Calibri" w:eastAsia="Calibri" w:cs="Calibri"/>
          <w:i/>
          <w:iCs/>
        </w:rPr>
        <w:t>.</w:t>
      </w:r>
      <w:r w:rsidR="00D111C5">
        <w:rPr>
          <w:rFonts w:ascii="Calibri" w:hAnsi="Calibri" w:eastAsia="Calibri" w:cs="Calibri"/>
        </w:rPr>
        <w:t xml:space="preserve"> </w:t>
      </w:r>
      <w:r w:rsidR="005F448A">
        <w:rPr>
          <w:rFonts w:ascii="Calibri" w:hAnsi="Calibri" w:eastAsia="Calibri" w:cs="Calibri"/>
        </w:rPr>
        <w:t xml:space="preserve">2018, Accessed </w:t>
      </w:r>
      <w:r w:rsidR="00820697">
        <w:rPr>
          <w:rFonts w:ascii="Calibri" w:hAnsi="Calibri" w:eastAsia="Calibri" w:cs="Calibri"/>
        </w:rPr>
        <w:tab/>
      </w:r>
      <w:r w:rsidR="005F448A">
        <w:rPr>
          <w:rFonts w:ascii="Calibri" w:hAnsi="Calibri" w:eastAsia="Calibri" w:cs="Calibri"/>
        </w:rPr>
        <w:t>2023.</w:t>
      </w:r>
      <w:r w:rsidR="002B32AE">
        <w:rPr>
          <w:rFonts w:ascii="Calibri" w:hAnsi="Calibri" w:eastAsia="Calibri" w:cs="Calibri"/>
        </w:rPr>
        <w:t xml:space="preserve"> </w:t>
      </w:r>
      <w:r w:rsidR="005F448A">
        <w:rPr>
          <w:rFonts w:ascii="Calibri" w:hAnsi="Calibri" w:eastAsia="Calibri" w:cs="Calibri"/>
        </w:rPr>
        <w:t>&lt;</w:t>
      </w:r>
      <w:r w:rsidRPr="002B32AE" w:rsidR="002B32AE">
        <w:t xml:space="preserve"> </w:t>
      </w:r>
      <w:r w:rsidRPr="002B32AE" w:rsidR="002B32AE">
        <w:rPr>
          <w:rFonts w:ascii="Calibri" w:hAnsi="Calibri" w:eastAsia="Calibri" w:cs="Calibri"/>
        </w:rPr>
        <w:t>https://neea.org/img/documents/water-heater-market-characterization-report.pdf</w:t>
      </w:r>
      <w:r w:rsidR="002B32AE">
        <w:rPr>
          <w:rFonts w:ascii="Calibri" w:hAnsi="Calibri" w:eastAsia="Calibri" w:cs="Calibri"/>
        </w:rPr>
        <w:t xml:space="preserve">&gt; </w:t>
      </w:r>
    </w:p>
    <w:p w:rsidRPr="008A2FFE" w:rsidR="009A4892" w:rsidP="00E5122F" w:rsidRDefault="00AD424C" w14:paraId="07042F52" w14:textId="58FFE7EC">
      <w:pPr>
        <w:rPr>
          <w:rFonts w:ascii="Calibri" w:hAnsi="Calibri" w:eastAsia="Calibri" w:cs="Calibri"/>
        </w:rPr>
      </w:pPr>
      <w:r w:rsidRPr="008A2FFE">
        <w:t>Northeast/Mid-Atlantic Heating Electrification</w:t>
      </w:r>
      <w:r w:rsidR="002B32AE">
        <w:t>.</w:t>
      </w:r>
      <w:r w:rsidRPr="008A2FFE">
        <w:t xml:space="preserve"> </w:t>
      </w:r>
      <w:r w:rsidRPr="002B32AE">
        <w:rPr>
          <w:i/>
          <w:iCs/>
        </w:rPr>
        <w:t>Market Transformation Progress Report</w:t>
      </w:r>
      <w:r w:rsidR="00820697">
        <w:t xml:space="preserve">. 2022, Accessed </w:t>
      </w:r>
      <w:r w:rsidR="00820697">
        <w:tab/>
      </w:r>
      <w:r w:rsidR="00820697">
        <w:t>2023. &lt;</w:t>
      </w:r>
      <w:r w:rsidRPr="00820697" w:rsidR="00820697">
        <w:t xml:space="preserve"> https://neep.org/northeastmid-atlantic-heating-electrification-market-transformation-</w:t>
      </w:r>
      <w:r w:rsidR="00820697">
        <w:tab/>
      </w:r>
      <w:r w:rsidRPr="00820697" w:rsidR="00820697">
        <w:t>progress-report</w:t>
      </w:r>
      <w:r w:rsidR="00820697">
        <w:t>&gt;</w:t>
      </w:r>
    </w:p>
    <w:p w:rsidRPr="008A2FFE" w:rsidR="00D10526" w:rsidP="00E5122F" w:rsidRDefault="00400179" w14:paraId="6A864ED2" w14:textId="155ACCFE">
      <w:r>
        <w:t>U.S Inter</w:t>
      </w:r>
      <w:r w:rsidR="00DC7C22">
        <w:t>national Trade Commission</w:t>
      </w:r>
      <w:r w:rsidRPr="00DC7C22" w:rsidR="00DC7C22">
        <w:rPr>
          <w:i/>
          <w:iCs/>
        </w:rPr>
        <w:t xml:space="preserve">. </w:t>
      </w:r>
      <w:r w:rsidRPr="00DC7C22" w:rsidR="00273072">
        <w:rPr>
          <w:i/>
          <w:iCs/>
        </w:rPr>
        <w:t xml:space="preserve">Residential Heat Pump (Hybrid) Water Heater Market, Production, </w:t>
      </w:r>
      <w:r w:rsidR="00BE5E98">
        <w:rPr>
          <w:i/>
          <w:iCs/>
        </w:rPr>
        <w:tab/>
      </w:r>
      <w:r w:rsidRPr="00DC7C22" w:rsidR="00273072">
        <w:rPr>
          <w:i/>
          <w:iCs/>
        </w:rPr>
        <w:t>and Trade</w:t>
      </w:r>
      <w:r w:rsidR="00DC7C22">
        <w:t>. 2022</w:t>
      </w:r>
      <w:r w:rsidR="00BE5E98">
        <w:t xml:space="preserve">, Accessed 2023. </w:t>
      </w:r>
      <w:r w:rsidR="00A56DCC">
        <w:tab/>
      </w:r>
      <w:r w:rsidR="00BE5E98">
        <w:t>&lt;</w:t>
      </w:r>
      <w:r w:rsidRPr="00BE5E98" w:rsidR="00BE5E98">
        <w:t>https://www.usitc.gov/publications/332/executive_briefings/ebot_residential_heat_pump_hy</w:t>
      </w:r>
      <w:r w:rsidR="00A56DCC">
        <w:tab/>
      </w:r>
      <w:r w:rsidRPr="00BE5E98" w:rsidR="00BE5E98">
        <w:t>brid_water_heaters.pdf</w:t>
      </w:r>
      <w:r w:rsidR="00BE5E98">
        <w:t xml:space="preserve">&gt; </w:t>
      </w:r>
    </w:p>
    <w:p w:rsidRPr="008A2FFE" w:rsidR="00B827F9" w:rsidP="00E5122F" w:rsidRDefault="005B0E46" w14:paraId="3C1F2EDE" w14:textId="2B9DBD6D">
      <w:r w:rsidRPr="008A2FFE">
        <w:t>ENERGY STAR</w:t>
      </w:r>
      <w:r w:rsidR="001B4C93">
        <w:t xml:space="preserve">. </w:t>
      </w:r>
      <w:r w:rsidR="001B4C93">
        <w:rPr>
          <w:i/>
          <w:iCs/>
        </w:rPr>
        <w:t xml:space="preserve">Partner Resource. </w:t>
      </w:r>
      <w:r w:rsidR="001B4C93">
        <w:t xml:space="preserve">Accessed 2023. </w:t>
      </w:r>
      <w:r w:rsidR="00D66DEF">
        <w:tab/>
      </w:r>
      <w:r w:rsidR="001B4C93">
        <w:t>&lt;</w:t>
      </w:r>
      <w:r w:rsidRPr="00D66DEF" w:rsidR="00D66DEF">
        <w:t>https://www.energystar.gov/partner_resources/products_partner_resources/brand_owner_re</w:t>
      </w:r>
      <w:r w:rsidR="00D66DEF">
        <w:tab/>
      </w:r>
      <w:r w:rsidRPr="00D66DEF" w:rsidR="00D66DEF">
        <w:t>sources/unit_shipment_data/archives</w:t>
      </w:r>
    </w:p>
    <w:p w:rsidRPr="00E5122F" w:rsidR="002C18AA" w:rsidP="00E5122F" w:rsidRDefault="002C18AA" w14:paraId="67464BDC" w14:textId="77777777">
      <w:pPr>
        <w:rPr>
          <w:rFonts w:ascii="Calibri" w:hAnsi="Calibri" w:eastAsia="Calibri" w:cs="Calibri"/>
          <w:i/>
          <w:iCs/>
        </w:rPr>
      </w:pPr>
    </w:p>
    <w:p w:rsidRPr="00D5752C" w:rsidR="005714AF" w:rsidRDefault="00F64D36" w14:paraId="1B1F5602" w14:textId="64C6A8ED">
      <w:pPr>
        <w:rPr>
          <w:rFonts w:ascii="Calibri" w:hAnsi="Calibri" w:eastAsia="Calibri" w:cs="Calibri"/>
        </w:rPr>
      </w:pPr>
      <w:r w:rsidRPr="00F64D36">
        <w:rPr>
          <w:rFonts w:ascii="Calibri" w:hAnsi="Calibri" w:eastAsia="Calibri" w:cs="Calibri"/>
          <w:b/>
          <w:bCs/>
          <w:u w:val="single"/>
        </w:rPr>
        <w:t>Market for HPWH</w:t>
      </w:r>
      <w:r w:rsidR="005714AF">
        <w:rPr>
          <w:rFonts w:ascii="Calibri" w:hAnsi="Calibri" w:eastAsia="Calibri" w:cs="Calibri"/>
          <w:b/>
          <w:bCs/>
          <w:i/>
          <w:iCs/>
          <w:u w:val="single"/>
        </w:rPr>
        <w:br/>
      </w:r>
      <w:r w:rsidR="00D5752C">
        <w:rPr>
          <w:rFonts w:ascii="Calibri" w:hAnsi="Calibri" w:eastAsia="Calibri" w:cs="Calibri"/>
        </w:rPr>
        <w:t xml:space="preserve">Businesses that aim to promote the sales of HPWH should be familiar with market trends, both nationally and locally. By doing so, they can better </w:t>
      </w:r>
      <w:r w:rsidR="00FF5531">
        <w:rPr>
          <w:rFonts w:ascii="Calibri" w:hAnsi="Calibri" w:eastAsia="Calibri" w:cs="Calibri"/>
        </w:rPr>
        <w:t>understand</w:t>
      </w:r>
      <w:r w:rsidR="00D5752C">
        <w:rPr>
          <w:rFonts w:ascii="Calibri" w:hAnsi="Calibri" w:eastAsia="Calibri" w:cs="Calibri"/>
        </w:rPr>
        <w:t xml:space="preserve"> the driving factors that are increasing the adoption of HPWH</w:t>
      </w:r>
      <w:r w:rsidR="00641E19">
        <w:rPr>
          <w:rFonts w:ascii="Calibri" w:hAnsi="Calibri" w:eastAsia="Calibri" w:cs="Calibri"/>
        </w:rPr>
        <w:t>s</w:t>
      </w:r>
      <w:r w:rsidR="00A86A36">
        <w:rPr>
          <w:rFonts w:ascii="Calibri" w:hAnsi="Calibri" w:eastAsia="Calibri" w:cs="Calibri"/>
        </w:rPr>
        <w:t>.</w:t>
      </w:r>
      <w:r w:rsidR="00D5752C">
        <w:rPr>
          <w:rFonts w:ascii="Calibri" w:hAnsi="Calibri" w:eastAsia="Calibri" w:cs="Calibri"/>
        </w:rPr>
        <w:t xml:space="preserve"> </w:t>
      </w:r>
      <w:r w:rsidR="00A86A36">
        <w:rPr>
          <w:rFonts w:ascii="Calibri" w:hAnsi="Calibri" w:eastAsia="Calibri" w:cs="Calibri"/>
        </w:rPr>
        <w:t xml:space="preserve">Additionally, businesses </w:t>
      </w:r>
      <w:r w:rsidR="00325401">
        <w:rPr>
          <w:rFonts w:ascii="Calibri" w:hAnsi="Calibri" w:eastAsia="Calibri" w:cs="Calibri"/>
        </w:rPr>
        <w:t xml:space="preserve">should understand </w:t>
      </w:r>
      <w:r w:rsidR="00D5752C">
        <w:rPr>
          <w:rFonts w:ascii="Calibri" w:hAnsi="Calibri" w:eastAsia="Calibri" w:cs="Calibri"/>
        </w:rPr>
        <w:t xml:space="preserve">what features, qualities, and limitations most </w:t>
      </w:r>
      <w:r w:rsidR="00916049">
        <w:rPr>
          <w:rFonts w:ascii="Calibri" w:hAnsi="Calibri" w:eastAsia="Calibri" w:cs="Calibri"/>
        </w:rPr>
        <w:t>a</w:t>
      </w:r>
      <w:r w:rsidR="00D5752C">
        <w:rPr>
          <w:rFonts w:ascii="Calibri" w:hAnsi="Calibri" w:eastAsia="Calibri" w:cs="Calibri"/>
        </w:rPr>
        <w:t xml:space="preserve">ffect the sales of their own in-stock units. </w:t>
      </w:r>
    </w:p>
    <w:p w:rsidR="00F64D36" w:rsidRDefault="00FF5531" w14:paraId="4C99A35F" w14:textId="2C756F76">
      <w:pPr>
        <w:rPr>
          <w:rFonts w:ascii="Calibri" w:hAnsi="Calibri" w:eastAsia="Calibri" w:cs="Calibri"/>
        </w:rPr>
      </w:pPr>
      <w:r w:rsidRPr="00F64D36">
        <w:rPr>
          <w:rFonts w:ascii="Calibri" w:hAnsi="Calibri" w:eastAsia="Calibri" w:cs="Calibri"/>
          <w:b/>
          <w:bCs/>
          <w:u w:val="single"/>
        </w:rPr>
        <w:t xml:space="preserve">National </w:t>
      </w:r>
      <w:r w:rsidR="00012C2B">
        <w:rPr>
          <w:rFonts w:ascii="Calibri" w:hAnsi="Calibri" w:eastAsia="Calibri" w:cs="Calibri"/>
          <w:b/>
          <w:bCs/>
          <w:u w:val="single"/>
        </w:rPr>
        <w:t>Market Trends</w:t>
      </w:r>
      <w:r w:rsidR="00680A6C">
        <w:rPr>
          <w:rFonts w:ascii="Calibri" w:hAnsi="Calibri" w:eastAsia="Calibri" w:cs="Calibri"/>
          <w:b/>
          <w:bCs/>
          <w:u w:val="single"/>
        </w:rPr>
        <w:br/>
      </w:r>
      <w:r w:rsidR="007B5B51">
        <w:rPr>
          <w:rFonts w:ascii="Calibri" w:hAnsi="Calibri" w:eastAsia="Calibri" w:cs="Calibri"/>
        </w:rPr>
        <w:t>HPWH</w:t>
      </w:r>
      <w:r w:rsidR="00641E19">
        <w:rPr>
          <w:rFonts w:ascii="Calibri" w:hAnsi="Calibri" w:eastAsia="Calibri" w:cs="Calibri"/>
        </w:rPr>
        <w:t>s</w:t>
      </w:r>
      <w:r w:rsidR="007B5B51">
        <w:rPr>
          <w:rFonts w:ascii="Calibri" w:hAnsi="Calibri" w:eastAsia="Calibri" w:cs="Calibri"/>
        </w:rPr>
        <w:t xml:space="preserve"> have been on an upward trend </w:t>
      </w:r>
      <w:r w:rsidR="00E46A20">
        <w:rPr>
          <w:rFonts w:ascii="Calibri" w:hAnsi="Calibri" w:eastAsia="Calibri" w:cs="Calibri"/>
        </w:rPr>
        <w:t xml:space="preserve">in the nation. </w:t>
      </w:r>
      <w:r w:rsidR="00743D48">
        <w:rPr>
          <w:rFonts w:ascii="Calibri" w:hAnsi="Calibri" w:eastAsia="Calibri" w:cs="Calibri"/>
        </w:rPr>
        <w:t>A</w:t>
      </w:r>
      <w:r w:rsidR="00B83519">
        <w:rPr>
          <w:rFonts w:ascii="Calibri" w:hAnsi="Calibri" w:eastAsia="Calibri" w:cs="Calibri"/>
        </w:rPr>
        <w:t xml:space="preserve"> U.S. International Trade </w:t>
      </w:r>
      <w:r w:rsidR="00A913C9">
        <w:rPr>
          <w:rFonts w:ascii="Calibri" w:hAnsi="Calibri" w:eastAsia="Calibri" w:cs="Calibri"/>
        </w:rPr>
        <w:t>Commission</w:t>
      </w:r>
      <w:r w:rsidR="00B83519">
        <w:rPr>
          <w:rFonts w:ascii="Calibri" w:hAnsi="Calibri" w:eastAsia="Calibri" w:cs="Calibri"/>
        </w:rPr>
        <w:t xml:space="preserve"> </w:t>
      </w:r>
      <w:r w:rsidR="00A913C9">
        <w:rPr>
          <w:rFonts w:ascii="Calibri" w:hAnsi="Calibri" w:eastAsia="Calibri" w:cs="Calibri"/>
        </w:rPr>
        <w:t>Report</w:t>
      </w:r>
      <w:r w:rsidR="00051765">
        <w:rPr>
          <w:rFonts w:ascii="Calibri" w:hAnsi="Calibri" w:eastAsia="Calibri" w:cs="Calibri"/>
        </w:rPr>
        <w:t xml:space="preserve"> state</w:t>
      </w:r>
      <w:r w:rsidR="00C34C82">
        <w:rPr>
          <w:rFonts w:ascii="Calibri" w:hAnsi="Calibri" w:eastAsia="Calibri" w:cs="Calibri"/>
        </w:rPr>
        <w:t>s</w:t>
      </w:r>
      <w:r w:rsidR="00051765">
        <w:rPr>
          <w:rFonts w:ascii="Calibri" w:hAnsi="Calibri" w:eastAsia="Calibri" w:cs="Calibri"/>
        </w:rPr>
        <w:t xml:space="preserve"> that </w:t>
      </w:r>
      <w:r w:rsidR="001775E8">
        <w:rPr>
          <w:rFonts w:ascii="Calibri" w:hAnsi="Calibri" w:eastAsia="Calibri" w:cs="Calibri"/>
        </w:rPr>
        <w:t>the</w:t>
      </w:r>
      <w:r w:rsidR="00051765">
        <w:rPr>
          <w:rFonts w:ascii="Calibri" w:hAnsi="Calibri" w:eastAsia="Calibri" w:cs="Calibri"/>
        </w:rPr>
        <w:t xml:space="preserve"> </w:t>
      </w:r>
      <w:r w:rsidR="00493CAF">
        <w:rPr>
          <w:rFonts w:ascii="Calibri" w:hAnsi="Calibri" w:eastAsia="Calibri" w:cs="Calibri"/>
        </w:rPr>
        <w:t>“</w:t>
      </w:r>
      <w:r w:rsidRPr="00493CAF" w:rsidR="00493CAF">
        <w:rPr>
          <w:rFonts w:ascii="Calibri" w:hAnsi="Calibri" w:eastAsia="Calibri" w:cs="Calibri"/>
        </w:rPr>
        <w:t>U.S. HPWH market doubled in the last five years, with apparent consumption of Energy Star</w:t>
      </w:r>
      <w:r w:rsidR="003468CD">
        <w:rPr>
          <w:rFonts w:ascii="Calibri" w:hAnsi="Calibri" w:eastAsia="Calibri" w:cs="Calibri"/>
        </w:rPr>
        <w:t xml:space="preserve">- </w:t>
      </w:r>
      <w:r w:rsidRPr="00493CAF" w:rsidR="00493CAF">
        <w:rPr>
          <w:rFonts w:ascii="Calibri" w:hAnsi="Calibri" w:eastAsia="Calibri" w:cs="Calibri"/>
        </w:rPr>
        <w:t>certified units increasing from 52,000 units in 2016 to 104,000 in 2020</w:t>
      </w:r>
      <w:r w:rsidR="00493CAF">
        <w:rPr>
          <w:rFonts w:ascii="Calibri" w:hAnsi="Calibri" w:eastAsia="Calibri" w:cs="Calibri"/>
        </w:rPr>
        <w:t>”</w:t>
      </w:r>
      <w:r w:rsidR="009C435A">
        <w:rPr>
          <w:rStyle w:val="FootnoteReference"/>
          <w:rFonts w:ascii="Calibri" w:hAnsi="Calibri" w:eastAsia="Calibri" w:cs="Calibri"/>
        </w:rPr>
        <w:footnoteReference w:id="2"/>
      </w:r>
      <w:r w:rsidR="00493CAF">
        <w:rPr>
          <w:rFonts w:ascii="Calibri" w:hAnsi="Calibri" w:eastAsia="Calibri" w:cs="Calibri"/>
        </w:rPr>
        <w:t xml:space="preserve">. While still a small share </w:t>
      </w:r>
      <w:r w:rsidR="0025732D">
        <w:rPr>
          <w:rFonts w:ascii="Calibri" w:hAnsi="Calibri" w:eastAsia="Calibri" w:cs="Calibri"/>
        </w:rPr>
        <w:t xml:space="preserve">of the overall water heater market, an </w:t>
      </w:r>
      <w:r w:rsidR="00933370">
        <w:rPr>
          <w:rFonts w:ascii="Calibri" w:hAnsi="Calibri" w:eastAsia="Calibri" w:cs="Calibri"/>
        </w:rPr>
        <w:t>upward trend</w:t>
      </w:r>
      <w:r w:rsidR="0025732D">
        <w:rPr>
          <w:rFonts w:ascii="Calibri" w:hAnsi="Calibri" w:eastAsia="Calibri" w:cs="Calibri"/>
        </w:rPr>
        <w:t xml:space="preserve"> signifies an opportunity </w:t>
      </w:r>
      <w:r w:rsidR="005B0114">
        <w:rPr>
          <w:rFonts w:ascii="Calibri" w:hAnsi="Calibri" w:eastAsia="Calibri" w:cs="Calibri"/>
        </w:rPr>
        <w:t xml:space="preserve">for </w:t>
      </w:r>
      <w:r w:rsidR="00BE5B81">
        <w:rPr>
          <w:rFonts w:ascii="Calibri" w:hAnsi="Calibri" w:eastAsia="Calibri" w:cs="Calibri"/>
        </w:rPr>
        <w:t xml:space="preserve">expansion </w:t>
      </w:r>
      <w:r w:rsidR="005B0114">
        <w:rPr>
          <w:rFonts w:ascii="Calibri" w:hAnsi="Calibri" w:eastAsia="Calibri" w:cs="Calibri"/>
        </w:rPr>
        <w:t xml:space="preserve">of </w:t>
      </w:r>
      <w:r w:rsidR="00BE5B81">
        <w:rPr>
          <w:rFonts w:ascii="Calibri" w:hAnsi="Calibri" w:eastAsia="Calibri" w:cs="Calibri"/>
        </w:rPr>
        <w:t>sales</w:t>
      </w:r>
      <w:r w:rsidRPr="00C00B33" w:rsidR="00672DAC">
        <w:rPr>
          <w:rFonts w:ascii="Calibri" w:hAnsi="Calibri" w:eastAsia="Calibri" w:cs="Calibri"/>
        </w:rPr>
        <w:t xml:space="preserve">. </w:t>
      </w:r>
      <w:r w:rsidRPr="00C00B33" w:rsidR="00BD41B2">
        <w:rPr>
          <w:rFonts w:ascii="Calibri" w:hAnsi="Calibri" w:eastAsia="Calibri" w:cs="Calibri"/>
        </w:rPr>
        <w:t xml:space="preserve">In particular, these </w:t>
      </w:r>
      <w:r w:rsidRPr="00C00B33" w:rsidR="00891F20">
        <w:rPr>
          <w:rFonts w:ascii="Calibri" w:hAnsi="Calibri" w:eastAsia="Calibri" w:cs="Calibri"/>
        </w:rPr>
        <w:t>sales reflect</w:t>
      </w:r>
      <w:r w:rsidRPr="00C00B33" w:rsidR="00BD41B2">
        <w:rPr>
          <w:rFonts w:ascii="Calibri" w:hAnsi="Calibri" w:eastAsia="Calibri" w:cs="Calibri"/>
        </w:rPr>
        <w:t xml:space="preserve"> </w:t>
      </w:r>
      <w:r w:rsidRPr="00C00B33" w:rsidR="00394863">
        <w:rPr>
          <w:rFonts w:ascii="Calibri" w:hAnsi="Calibri" w:eastAsia="Calibri" w:cs="Calibri"/>
        </w:rPr>
        <w:t>key</w:t>
      </w:r>
      <w:r w:rsidRPr="00C00B33" w:rsidR="00BD41B2">
        <w:rPr>
          <w:rFonts w:ascii="Calibri" w:hAnsi="Calibri" w:eastAsia="Calibri" w:cs="Calibri"/>
        </w:rPr>
        <w:t xml:space="preserve"> target </w:t>
      </w:r>
      <w:r w:rsidRPr="00C00B33" w:rsidR="00891F20">
        <w:rPr>
          <w:rFonts w:ascii="Calibri" w:hAnsi="Calibri" w:eastAsia="Calibri" w:cs="Calibri"/>
        </w:rPr>
        <w:t>audiences</w:t>
      </w:r>
      <w:r w:rsidRPr="00C00B33" w:rsidR="00BD41B2">
        <w:rPr>
          <w:rFonts w:ascii="Calibri" w:hAnsi="Calibri" w:eastAsia="Calibri" w:cs="Calibri"/>
        </w:rPr>
        <w:t xml:space="preserve"> that businesses could identify as </w:t>
      </w:r>
      <w:r w:rsidRPr="00C00B33" w:rsidR="00891F20">
        <w:rPr>
          <w:rFonts w:ascii="Calibri" w:hAnsi="Calibri" w:eastAsia="Calibri" w:cs="Calibri"/>
        </w:rPr>
        <w:t>potential markets for which the sale of HPWHs is more likely.</w:t>
      </w:r>
      <w:r w:rsidR="00891F20">
        <w:rPr>
          <w:rFonts w:ascii="Calibri" w:hAnsi="Calibri" w:eastAsia="Calibri" w:cs="Calibri"/>
        </w:rPr>
        <w:t xml:space="preserve"> These </w:t>
      </w:r>
      <w:r w:rsidR="004E5800">
        <w:rPr>
          <w:rFonts w:ascii="Calibri" w:hAnsi="Calibri" w:eastAsia="Calibri" w:cs="Calibri"/>
        </w:rPr>
        <w:t>target markets are</w:t>
      </w:r>
      <w:r w:rsidR="00B65EAC">
        <w:rPr>
          <w:rFonts w:ascii="Calibri" w:hAnsi="Calibri" w:eastAsia="Calibri" w:cs="Calibri"/>
        </w:rPr>
        <w:t>:</w:t>
      </w:r>
    </w:p>
    <w:p w:rsidR="004E5800" w:rsidP="004E5800" w:rsidRDefault="004E5800" w14:paraId="6013E3B4" w14:textId="58035CC9">
      <w:pPr>
        <w:pStyle w:val="ListParagraph"/>
        <w:numPr>
          <w:ilvl w:val="0"/>
          <w:numId w:val="7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New home construction</w:t>
      </w:r>
    </w:p>
    <w:p w:rsidR="004E5800" w:rsidP="004E5800" w:rsidRDefault="005A6D41" w14:paraId="04F71A70" w14:textId="43A62A7D">
      <w:pPr>
        <w:pStyle w:val="ListParagraph"/>
        <w:numPr>
          <w:ilvl w:val="0"/>
          <w:numId w:val="7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Areas where</w:t>
      </w:r>
      <w:r w:rsidR="002E330D">
        <w:rPr>
          <w:rFonts w:ascii="Calibri" w:hAnsi="Calibri" w:eastAsia="Calibri" w:cs="Calibri"/>
        </w:rPr>
        <w:t xml:space="preserve"> energy efficient codes and requirements</w:t>
      </w:r>
      <w:r>
        <w:rPr>
          <w:rFonts w:ascii="Calibri" w:hAnsi="Calibri" w:eastAsia="Calibri" w:cs="Calibri"/>
        </w:rPr>
        <w:t xml:space="preserve"> have been implemented </w:t>
      </w:r>
    </w:p>
    <w:p w:rsidR="002E330D" w:rsidP="004E5800" w:rsidRDefault="00A6530B" w14:paraId="445CF713" w14:textId="4B835B99">
      <w:pPr>
        <w:pStyle w:val="ListParagraph"/>
        <w:numPr>
          <w:ilvl w:val="0"/>
          <w:numId w:val="7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Regions with </w:t>
      </w:r>
      <w:r w:rsidR="005A6D41">
        <w:rPr>
          <w:rFonts w:ascii="Calibri" w:hAnsi="Calibri" w:eastAsia="Calibri" w:cs="Calibri"/>
        </w:rPr>
        <w:t>i</w:t>
      </w:r>
      <w:r w:rsidR="00FC2F36">
        <w:rPr>
          <w:rFonts w:ascii="Calibri" w:hAnsi="Calibri" w:eastAsia="Calibri" w:cs="Calibri"/>
        </w:rPr>
        <w:t xml:space="preserve">ncentives from </w:t>
      </w:r>
      <w:r>
        <w:rPr>
          <w:rFonts w:ascii="Calibri" w:hAnsi="Calibri" w:eastAsia="Calibri" w:cs="Calibri"/>
        </w:rPr>
        <w:t xml:space="preserve">local </w:t>
      </w:r>
      <w:r w:rsidR="00FC2F36">
        <w:rPr>
          <w:rFonts w:ascii="Calibri" w:hAnsi="Calibri" w:eastAsia="Calibri" w:cs="Calibri"/>
        </w:rPr>
        <w:t>utilities and manufacturers</w:t>
      </w:r>
    </w:p>
    <w:p w:rsidR="00A6530B" w:rsidP="0074351A" w:rsidRDefault="006816BB" w14:paraId="722B258E" w14:textId="44034B39">
      <w:pPr>
        <w:pStyle w:val="ListParagraph"/>
        <w:numPr>
          <w:ilvl w:val="0"/>
          <w:numId w:val="7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Customers who prefer more efficient pro</w:t>
      </w:r>
      <w:r w:rsidR="0074351A">
        <w:rPr>
          <w:rFonts w:ascii="Calibri" w:hAnsi="Calibri" w:eastAsia="Calibri" w:cs="Calibri"/>
        </w:rPr>
        <w:t xml:space="preserve">duct </w:t>
      </w:r>
      <w:r w:rsidRPr="0074351A" w:rsidR="0074351A">
        <w:rPr>
          <w:rFonts w:ascii="Calibri" w:hAnsi="Calibri" w:eastAsia="Calibri" w:cs="Calibri"/>
        </w:rPr>
        <w:t>and/or one with a lower cost of</w:t>
      </w:r>
      <w:r w:rsidR="0074351A">
        <w:rPr>
          <w:rFonts w:ascii="Calibri" w:hAnsi="Calibri" w:eastAsia="Calibri" w:cs="Calibri"/>
        </w:rPr>
        <w:t xml:space="preserve"> </w:t>
      </w:r>
      <w:r w:rsidRPr="0074351A" w:rsidR="0074351A">
        <w:rPr>
          <w:rFonts w:ascii="Calibri" w:hAnsi="Calibri" w:eastAsia="Calibri" w:cs="Calibri"/>
        </w:rPr>
        <w:t>operation</w:t>
      </w:r>
    </w:p>
    <w:p w:rsidR="00403C6B" w:rsidP="00DD0075" w:rsidRDefault="00C00B33" w14:paraId="42BB388D" w14:textId="17E83DB9">
      <w:pPr>
        <w:rPr>
          <w:rFonts w:ascii="Calibri" w:hAnsi="Calibri" w:eastAsia="Calibri" w:cs="Calibri"/>
          <w:i/>
          <w:iCs/>
        </w:rPr>
      </w:pPr>
      <w:r>
        <w:rPr>
          <w:rFonts w:ascii="Calibri" w:hAnsi="Calibri" w:eastAsia="Calibri" w:cs="Calibri"/>
        </w:rPr>
        <w:t xml:space="preserve">This small share of the overall market can be seen as early adopters, as HPWHs improve, they can become more prevalent in the general public. </w:t>
      </w:r>
      <w:r w:rsidR="000E778C">
        <w:rPr>
          <w:rFonts w:ascii="Calibri" w:hAnsi="Calibri" w:eastAsia="Calibri" w:cs="Calibri"/>
        </w:rPr>
        <w:t xml:space="preserve">Figure </w:t>
      </w:r>
      <w:r w:rsidR="004F6675">
        <w:rPr>
          <w:rFonts w:ascii="Calibri" w:hAnsi="Calibri" w:eastAsia="Calibri" w:cs="Calibri"/>
        </w:rPr>
        <w:t xml:space="preserve">1 </w:t>
      </w:r>
      <w:r w:rsidR="000E778C">
        <w:rPr>
          <w:rFonts w:ascii="Calibri" w:hAnsi="Calibri" w:eastAsia="Calibri" w:cs="Calibri"/>
        </w:rPr>
        <w:t xml:space="preserve">shows data </w:t>
      </w:r>
      <w:r w:rsidR="00C01481">
        <w:rPr>
          <w:rFonts w:ascii="Calibri" w:hAnsi="Calibri" w:eastAsia="Calibri" w:cs="Calibri"/>
        </w:rPr>
        <w:t xml:space="preserve">on the overall growth and adoption of the HPWH market. </w:t>
      </w:r>
    </w:p>
    <w:p w:rsidR="00F64D36" w:rsidP="00F169C0" w:rsidRDefault="00F64D36" w14:paraId="293B7B36" w14:textId="14EFFEE1">
      <w:pPr>
        <w:rPr>
          <w:rFonts w:ascii="Calibri" w:hAnsi="Calibri" w:eastAsia="Calibri" w:cs="Calibri"/>
          <w:i/>
          <w:iCs/>
        </w:rPr>
      </w:pPr>
    </w:p>
    <w:p w:rsidRPr="00805C94" w:rsidR="00805C94" w:rsidP="00805C94" w:rsidRDefault="007F755A" w14:paraId="5FF20E1C" w14:textId="0C9072D9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7F755A">
        <w:t xml:space="preserve">* 2010 ENERGY STAR reported HPWH shipment data was 59,000, but included 2009 </w:t>
      </w:r>
      <w:r w:rsidRPr="007F755A" w:rsidR="00980782">
        <w:t>shipments.</w:t>
      </w:r>
      <w:r w:rsidR="00805C94">
        <w:br/>
      </w:r>
      <w:r w:rsidR="00805C94">
        <w:rPr>
          <w:rFonts w:ascii="Calibri" w:hAnsi="Calibri" w:eastAsia="Calibri" w:cs="Calibri"/>
          <w:i w:val="0"/>
          <w:iCs w:val="0"/>
        </w:rPr>
        <w:t xml:space="preserve">Source: </w:t>
      </w:r>
      <w:r w:rsidRPr="00F24B3E" w:rsidR="00805C94">
        <w:rPr>
          <w:rFonts w:ascii="Calibri" w:hAnsi="Calibri" w:eastAsia="Calibri" w:cs="Calibri"/>
          <w:i w:val="0"/>
          <w:iCs w:val="0"/>
        </w:rPr>
        <w:t>ENERGY STAR, Unit Shipment Data Annual Reports, 2010-2021</w:t>
      </w:r>
      <w:r w:rsidR="00805C94">
        <w:rPr>
          <w:rFonts w:ascii="Calibri" w:hAnsi="Calibri" w:eastAsia="Calibri" w:cs="Calibri"/>
          <w:i w:val="0"/>
          <w:iCs w:val="0"/>
        </w:rPr>
        <w:br/>
      </w:r>
      <w:hyperlink w:history="1" r:id="rId11">
        <w:r w:rsidRPr="00F24B3E" w:rsidR="00805C94">
          <w:rPr>
            <w:rStyle w:val="Hyperlink"/>
            <w:rFonts w:ascii="Calibri" w:hAnsi="Calibri" w:eastAsia="Calibri" w:cs="Calibri"/>
            <w:i w:val="0"/>
            <w:iCs w:val="0"/>
          </w:rPr>
          <w:t>https://www.energystar.gov/partner_resources/products_partner_resources/brand_owner_resources/unit_shipment_data</w:t>
        </w:r>
      </w:hyperlink>
    </w:p>
    <w:tbl>
      <w:tblPr>
        <w:tblW w:w="585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2"/>
        <w:gridCol w:w="1681"/>
        <w:gridCol w:w="2470"/>
      </w:tblGrid>
      <w:tr w:rsidRPr="007F755A" w:rsidR="002055E3" w:rsidTr="00F169C0" w14:paraId="0491463F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DFDF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032354A3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>Year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DFDF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7D72A729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>E* HPWHs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DFDF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3283C7B5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>Elec WH Mkt Share</w:t>
            </w:r>
          </w:p>
        </w:tc>
      </w:tr>
      <w:tr w:rsidRPr="007F755A" w:rsidR="002055E3" w:rsidTr="00F169C0" w14:paraId="7E58F8E8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54408A0B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2009*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4AFCB9D0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22,000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5C713707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0.59%</w:t>
            </w:r>
          </w:p>
        </w:tc>
      </w:tr>
      <w:tr w:rsidRPr="007F755A" w:rsidR="002055E3" w:rsidTr="00F169C0" w14:paraId="381AE7B9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3651D5AA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2010*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7C7EBE7C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37,000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255E922F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0.99%</w:t>
            </w:r>
          </w:p>
        </w:tc>
      </w:tr>
      <w:tr w:rsidRPr="007F755A" w:rsidR="002055E3" w:rsidTr="00F169C0" w14:paraId="0A639E30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7B386517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2011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3D8B2F19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23,000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1F9AA2C8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0.62%</w:t>
            </w:r>
          </w:p>
        </w:tc>
      </w:tr>
      <w:tr w:rsidRPr="007F755A" w:rsidR="002055E3" w:rsidTr="00F169C0" w14:paraId="7B7A8BFA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2AB84E83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2012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7BA8BE78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34,000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139FFB5B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0.91%</w:t>
            </w:r>
          </w:p>
        </w:tc>
      </w:tr>
      <w:tr w:rsidRPr="007F755A" w:rsidR="002055E3" w:rsidTr="00F169C0" w14:paraId="42BDCC47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2758DF52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2013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177C1D0A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43,000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0F72D0B8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1.07%</w:t>
            </w:r>
          </w:p>
        </w:tc>
      </w:tr>
      <w:tr w:rsidRPr="007F755A" w:rsidR="002055E3" w:rsidTr="00F169C0" w14:paraId="299A8A33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0652AACB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2014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2C6EEFE9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46,000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36F68008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1.08%</w:t>
            </w:r>
          </w:p>
        </w:tc>
      </w:tr>
      <w:tr w:rsidRPr="007F755A" w:rsidR="002055E3" w:rsidTr="00F169C0" w14:paraId="44257516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28B49175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2015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323D018F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55,000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69718C6F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1.37%</w:t>
            </w:r>
          </w:p>
        </w:tc>
      </w:tr>
      <w:tr w:rsidRPr="007F755A" w:rsidR="002055E3" w:rsidTr="00F169C0" w14:paraId="5211CB4A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6C09A302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2016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48BF71A5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52,000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7377B2C3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1.32%</w:t>
            </w:r>
          </w:p>
        </w:tc>
      </w:tr>
      <w:tr w:rsidRPr="007F755A" w:rsidR="002055E3" w:rsidTr="00F169C0" w14:paraId="1396081D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0FB0B7D1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2017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09888FEA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72,000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5705C651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1.74%</w:t>
            </w:r>
          </w:p>
        </w:tc>
      </w:tr>
      <w:tr w:rsidRPr="007F755A" w:rsidR="002055E3" w:rsidTr="00F169C0" w14:paraId="51CB6204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7DC20F95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2018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18DCB92C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65,000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66B89224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1.54%</w:t>
            </w:r>
          </w:p>
        </w:tc>
      </w:tr>
      <w:tr w:rsidRPr="007F755A" w:rsidR="002055E3" w:rsidTr="00F169C0" w14:paraId="78FB4F2B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027C25B9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2019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6FBFDDC1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84,000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2EAB341F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2.00%</w:t>
            </w:r>
          </w:p>
        </w:tc>
      </w:tr>
      <w:tr w:rsidRPr="007F755A" w:rsidR="002055E3" w:rsidTr="00F169C0" w14:paraId="078FE4C6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5C191084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489B875F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104,000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11A5252D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2.23%</w:t>
            </w:r>
          </w:p>
        </w:tc>
      </w:tr>
      <w:tr w:rsidRPr="007F755A" w:rsidR="002055E3" w:rsidTr="00F169C0" w14:paraId="6945418D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364846F6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0DD72CB4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112,000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12DAA6FF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2.29%</w:t>
            </w:r>
          </w:p>
        </w:tc>
      </w:tr>
      <w:tr w:rsidRPr="007F755A" w:rsidR="002055E3" w:rsidTr="00F169C0" w14:paraId="78B4C9DD" w14:textId="77777777">
        <w:trPr>
          <w:trHeight w:val="15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3031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20F0B1EA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3031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4CE622DE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3031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33D475B7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</w:p>
        </w:tc>
      </w:tr>
      <w:tr w:rsidRPr="007F755A" w:rsidR="002055E3" w:rsidTr="00F169C0" w14:paraId="0CB9A131" w14:textId="77777777">
        <w:trPr>
          <w:trHeight w:val="126"/>
          <w:jc w:val="center"/>
        </w:trPr>
        <w:tc>
          <w:tcPr>
            <w:tcW w:w="1702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4AB12210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681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0874A68B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 xml:space="preserve">749,000 </w:t>
            </w:r>
          </w:p>
        </w:tc>
        <w:tc>
          <w:tcPr>
            <w:tcW w:w="2470" w:type="dxa"/>
            <w:tcBorders>
              <w:top w:val="single" w:color="616265" w:sz="8" w:space="0"/>
              <w:left w:val="single" w:color="616265" w:sz="8" w:space="0"/>
              <w:bottom w:val="single" w:color="616265" w:sz="8" w:space="0"/>
              <w:right w:val="single" w:color="616265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F169C0" w:rsidR="002055E3" w:rsidP="002055E3" w:rsidRDefault="002055E3" w14:paraId="7E25D718" w14:textId="77777777">
            <w:pPr>
              <w:rPr>
                <w:rFonts w:ascii="Calibri" w:hAnsi="Calibri" w:eastAsia="Calibri" w:cs="Calibri"/>
                <w:i/>
                <w:iCs/>
                <w:sz w:val="18"/>
                <w:szCs w:val="18"/>
              </w:rPr>
            </w:pPr>
            <w:r w:rsidRPr="00F169C0">
              <w:rPr>
                <w:rFonts w:ascii="Calibri" w:hAnsi="Calibri" w:eastAsia="Calibri" w:cs="Calibri"/>
                <w:i/>
                <w:iCs/>
                <w:sz w:val="18"/>
                <w:szCs w:val="18"/>
              </w:rPr>
              <w:t>1.51%</w:t>
            </w:r>
          </w:p>
        </w:tc>
      </w:tr>
    </w:tbl>
    <w:p w:rsidR="00E7450F" w:rsidP="00C90668" w:rsidRDefault="002055E3" w14:paraId="5FAB0780" w14:textId="77777777">
      <w:pPr>
        <w:keepNext/>
        <w:jc w:val="center"/>
      </w:pPr>
      <w:r>
        <w:rPr>
          <w:rFonts w:ascii="Calibri" w:hAnsi="Calibri" w:eastAsia="Calibri" w:cs="Calibri"/>
          <w:i/>
          <w:iCs/>
          <w:noProof/>
        </w:rPr>
        <w:drawing>
          <wp:inline distT="0" distB="0" distL="0" distR="0" wp14:anchorId="32FEA08C" wp14:editId="68EE1D21">
            <wp:extent cx="5592141" cy="2774068"/>
            <wp:effectExtent l="0" t="0" r="0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86" cy="278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F169C0" w:rsidR="002055E3" w:rsidP="00F169C0" w:rsidRDefault="00E7450F" w14:paraId="1BC2B34B" w14:textId="6A8FA13E">
      <w:pPr>
        <w:pStyle w:val="Caption"/>
        <w:jc w:val="center"/>
        <w:rPr>
          <w:i w:val="0"/>
          <w:iCs w:val="0"/>
        </w:rPr>
      </w:pPr>
      <w:r>
        <w:t xml:space="preserve">Figure </w:t>
      </w:r>
      <w:r>
        <w:fldChar w:fldCharType="begin"/>
      </w:r>
      <w:r>
        <w:instrText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7B659C">
        <w:t xml:space="preserve">: Energy Star Certified HPWH shipments per year. </w:t>
      </w:r>
      <w:r w:rsidR="00AC377D">
        <w:br/>
      </w:r>
      <w:r w:rsidR="00AC377D">
        <w:rPr>
          <w:rFonts w:ascii="Calibri" w:hAnsi="Calibri" w:eastAsia="Calibri" w:cs="Calibri"/>
          <w:i w:val="0"/>
          <w:iCs w:val="0"/>
        </w:rPr>
        <w:t xml:space="preserve">Source: </w:t>
      </w:r>
      <w:r w:rsidRPr="00F24B3E" w:rsidR="00AC377D">
        <w:rPr>
          <w:rFonts w:ascii="Calibri" w:hAnsi="Calibri" w:eastAsia="Calibri" w:cs="Calibri"/>
          <w:i w:val="0"/>
          <w:iCs w:val="0"/>
        </w:rPr>
        <w:t>ENERGY STAR, Unit Shipment Data Annual Reports, 2010-2021</w:t>
      </w:r>
      <w:r w:rsidR="00AC377D">
        <w:rPr>
          <w:rFonts w:ascii="Calibri" w:hAnsi="Calibri" w:eastAsia="Calibri" w:cs="Calibri"/>
          <w:i w:val="0"/>
          <w:iCs w:val="0"/>
        </w:rPr>
        <w:br/>
      </w:r>
      <w:hyperlink w:history="1" r:id="rId13">
        <w:r w:rsidRPr="00F24B3E" w:rsidR="00AC377D">
          <w:rPr>
            <w:rStyle w:val="Hyperlink"/>
            <w:rFonts w:ascii="Calibri" w:hAnsi="Calibri" w:eastAsia="Calibri" w:cs="Calibri"/>
            <w:i w:val="0"/>
            <w:iCs w:val="0"/>
          </w:rPr>
          <w:t>https://www.energystar.gov/partner_resources/products_partner_resources/brand_owner_resources/unit_shipment_data</w:t>
        </w:r>
      </w:hyperlink>
      <w:r w:rsidRPr="00F24B3E" w:rsidR="00AC377D">
        <w:rPr>
          <w:rFonts w:ascii="Calibri" w:hAnsi="Calibri" w:eastAsia="Calibri" w:cs="Calibri"/>
          <w:i w:val="0"/>
          <w:iCs w:val="0"/>
        </w:rPr>
        <w:br/>
      </w:r>
    </w:p>
    <w:p w:rsidRPr="00F64D36" w:rsidR="00FF5531" w:rsidRDefault="00FF5531" w14:paraId="61ABC810" w14:textId="77CBEDAD">
      <w:pPr>
        <w:rPr>
          <w:rFonts w:ascii="Calibri" w:hAnsi="Calibri" w:eastAsia="Calibri" w:cs="Calibri"/>
          <w:b/>
          <w:bCs/>
          <w:u w:val="single"/>
        </w:rPr>
      </w:pPr>
      <w:r w:rsidRPr="00F64D36">
        <w:rPr>
          <w:rFonts w:ascii="Calibri" w:hAnsi="Calibri" w:eastAsia="Calibri" w:cs="Calibri"/>
          <w:b/>
          <w:bCs/>
          <w:u w:val="single"/>
        </w:rPr>
        <w:t xml:space="preserve">Regional </w:t>
      </w:r>
      <w:r w:rsidR="00012C2B">
        <w:rPr>
          <w:rFonts w:ascii="Calibri" w:hAnsi="Calibri" w:eastAsia="Calibri" w:cs="Calibri"/>
          <w:b/>
          <w:bCs/>
          <w:u w:val="single"/>
        </w:rPr>
        <w:t>Market Transformation</w:t>
      </w:r>
    </w:p>
    <w:p w:rsidR="00F64D36" w:rsidP="00F64D36" w:rsidRDefault="00F64D36" w14:paraId="53C4F159" w14:textId="6E8AF4A5">
      <w:pPr>
        <w:spacing w:line="25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Business</w:t>
      </w:r>
      <w:r w:rsidR="00435E64">
        <w:rPr>
          <w:rFonts w:ascii="Calibri" w:hAnsi="Calibri" w:eastAsia="Calibri" w:cs="Calibri"/>
        </w:rPr>
        <w:t>e</w:t>
      </w:r>
      <w:r w:rsidR="00C14969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 xml:space="preserve"> should understand the local trends for HPWH adoption. By understanding local trends, businesses can adjust accordingly to cater to the demands of HPWH</w:t>
      </w:r>
      <w:r w:rsidR="00641E19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 xml:space="preserve"> in the area. Especially if it shows a growing trend where HPWH</w:t>
      </w:r>
      <w:r w:rsidR="00641E19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 xml:space="preserve"> continue to increase in prevalence. </w:t>
      </w:r>
    </w:p>
    <w:p w:rsidR="00F64D36" w:rsidP="00F64D36" w:rsidRDefault="00F64D36" w14:paraId="5B251161" w14:textId="77777777">
      <w:pPr>
        <w:spacing w:line="256" w:lineRule="auto"/>
        <w:contextualSpacing/>
        <w:rPr>
          <w:rFonts w:ascii="Calibri" w:hAnsi="Calibri" w:eastAsia="Calibri" w:cs="Calibri"/>
        </w:rPr>
      </w:pPr>
    </w:p>
    <w:p w:rsidR="00A43DCD" w:rsidP="00F64D36" w:rsidRDefault="00F64D36" w14:paraId="50094B18" w14:textId="56A93502">
      <w:pPr>
        <w:spacing w:line="256" w:lineRule="auto"/>
        <w:contextualSpacing/>
        <w:rPr>
          <w:rFonts w:ascii="Calibri" w:hAnsi="Calibri" w:eastAsia="Calibri" w:cs="Calibri"/>
        </w:rPr>
      </w:pPr>
      <w:r w:rsidRPr="00E03621">
        <w:rPr>
          <w:rFonts w:ascii="Calibri" w:hAnsi="Calibri" w:eastAsia="Calibri" w:cs="Calibri"/>
        </w:rPr>
        <w:t>For example, northwestern states (Washington, Oregon, Idaho, and Montana) have seen an increase in HPWH market share, from 8.5 % 2017 to 11.6 % in 2020</w:t>
      </w:r>
      <w:r>
        <w:rPr>
          <w:rFonts w:ascii="Calibri" w:hAnsi="Calibri" w:eastAsia="Calibri" w:cs="Calibri"/>
        </w:rPr>
        <w:t>.</w:t>
      </w:r>
      <w:r w:rsidR="009816D1">
        <w:rPr>
          <w:rStyle w:val="FootnoteReference"/>
          <w:rFonts w:ascii="Calibri" w:hAnsi="Calibri" w:eastAsia="Calibri" w:cs="Calibri"/>
        </w:rPr>
        <w:footnoteReference w:id="3"/>
      </w:r>
      <w:r w:rsidRPr="00E03621">
        <w:rPr>
          <w:rFonts w:ascii="Calibri" w:hAnsi="Calibri" w:eastAsia="Calibri" w:cs="Calibri"/>
        </w:rPr>
        <w:t xml:space="preserve"> There is a particular</w:t>
      </w:r>
      <w:r>
        <w:rPr>
          <w:rFonts w:ascii="Calibri" w:hAnsi="Calibri" w:eastAsia="Calibri" w:cs="Calibri"/>
        </w:rPr>
        <w:t>ly</w:t>
      </w:r>
      <w:r w:rsidRPr="00E03621">
        <w:rPr>
          <w:rFonts w:ascii="Calibri" w:hAnsi="Calibri" w:eastAsia="Calibri" w:cs="Calibri"/>
        </w:rPr>
        <w:t xml:space="preserve"> strong trend in new construction where HPWHs account for 59 % of electric water heater installation. </w:t>
      </w:r>
      <w:r>
        <w:rPr>
          <w:rFonts w:ascii="Calibri" w:hAnsi="Calibri" w:eastAsia="Calibri" w:cs="Calibri"/>
        </w:rPr>
        <w:t>In other part</w:t>
      </w:r>
      <w:r w:rsidR="00AD613B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 xml:space="preserve"> of the country, such as California, standards such as Title 24 ha</w:t>
      </w:r>
      <w:r w:rsidR="0044495D">
        <w:rPr>
          <w:rFonts w:ascii="Calibri" w:hAnsi="Calibri" w:eastAsia="Calibri" w:cs="Calibri"/>
        </w:rPr>
        <w:t>ve</w:t>
      </w:r>
      <w:r>
        <w:rPr>
          <w:rFonts w:ascii="Calibri" w:hAnsi="Calibri" w:eastAsia="Calibri" w:cs="Calibri"/>
        </w:rPr>
        <w:t xml:space="preserve"> driven an increase in HPWH installation in new homes.</w:t>
      </w:r>
      <w:r w:rsidR="009816D1">
        <w:rPr>
          <w:rStyle w:val="FootnoteReference"/>
          <w:rFonts w:ascii="Calibri" w:hAnsi="Calibri" w:eastAsia="Calibri" w:cs="Calibri"/>
        </w:rPr>
        <w:footnoteReference w:id="4"/>
      </w:r>
    </w:p>
    <w:p w:rsidR="00A43DCD" w:rsidP="00F64D36" w:rsidRDefault="00A43DCD" w14:paraId="466B2FDD" w14:textId="77777777">
      <w:pPr>
        <w:spacing w:line="256" w:lineRule="auto"/>
        <w:contextualSpacing/>
        <w:rPr>
          <w:rFonts w:ascii="Calibri" w:hAnsi="Calibri" w:eastAsia="Calibri" w:cs="Calibri"/>
        </w:rPr>
      </w:pPr>
    </w:p>
    <w:p w:rsidR="00A43DCD" w:rsidP="00F64D36" w:rsidRDefault="00A43DCD" w14:paraId="4ACB9828" w14:textId="2AB88537">
      <w:pPr>
        <w:spacing w:line="25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Another regional </w:t>
      </w:r>
      <w:r w:rsidR="00276D15">
        <w:rPr>
          <w:rFonts w:ascii="Calibri" w:hAnsi="Calibri" w:eastAsia="Calibri" w:cs="Calibri"/>
        </w:rPr>
        <w:t>market trend</w:t>
      </w:r>
      <w:r w:rsidR="00B350FA">
        <w:rPr>
          <w:rFonts w:ascii="Calibri" w:hAnsi="Calibri" w:eastAsia="Calibri" w:cs="Calibri"/>
        </w:rPr>
        <w:t xml:space="preserve"> report</w:t>
      </w:r>
      <w:r w:rsidR="00276D15">
        <w:rPr>
          <w:rFonts w:ascii="Calibri" w:hAnsi="Calibri" w:eastAsia="Calibri" w:cs="Calibri"/>
        </w:rPr>
        <w:t xml:space="preserve"> can be found in </w:t>
      </w:r>
      <w:r w:rsidR="007A0608">
        <w:rPr>
          <w:rFonts w:ascii="Calibri" w:hAnsi="Calibri" w:eastAsia="Calibri" w:cs="Calibri"/>
        </w:rPr>
        <w:t>“</w:t>
      </w:r>
      <w:r w:rsidRPr="007A0608" w:rsidR="007A0608">
        <w:rPr>
          <w:rFonts w:ascii="Calibri" w:hAnsi="Calibri" w:eastAsia="Calibri" w:cs="Calibri"/>
        </w:rPr>
        <w:t>Northeast/Mid-Atlantic Heating Electrification Market Transformation Progress Report</w:t>
      </w:r>
      <w:r w:rsidR="007A0608">
        <w:rPr>
          <w:rFonts w:ascii="Calibri" w:hAnsi="Calibri" w:eastAsia="Calibri" w:cs="Calibri"/>
        </w:rPr>
        <w:t>”</w:t>
      </w:r>
      <w:r w:rsidR="003B55D6">
        <w:rPr>
          <w:rFonts w:ascii="Calibri" w:hAnsi="Calibri" w:eastAsia="Calibri" w:cs="Calibri"/>
        </w:rPr>
        <w:t xml:space="preserve">. </w:t>
      </w:r>
      <w:r w:rsidR="00FB2A48">
        <w:rPr>
          <w:rFonts w:ascii="Calibri" w:hAnsi="Calibri" w:eastAsia="Calibri" w:cs="Calibri"/>
        </w:rPr>
        <w:t xml:space="preserve"> </w:t>
      </w:r>
      <w:r w:rsidR="00B350FA">
        <w:rPr>
          <w:rFonts w:ascii="Calibri" w:hAnsi="Calibri" w:eastAsia="Calibri" w:cs="Calibri"/>
        </w:rPr>
        <w:t xml:space="preserve">An example of </w:t>
      </w:r>
      <w:r w:rsidR="00332B6D">
        <w:rPr>
          <w:rFonts w:ascii="Calibri" w:hAnsi="Calibri" w:eastAsia="Calibri" w:cs="Calibri"/>
        </w:rPr>
        <w:t>its</w:t>
      </w:r>
      <w:r w:rsidR="00B350FA">
        <w:rPr>
          <w:rFonts w:ascii="Calibri" w:hAnsi="Calibri" w:eastAsia="Calibri" w:cs="Calibri"/>
        </w:rPr>
        <w:t xml:space="preserve"> content includes the </w:t>
      </w:r>
      <w:r w:rsidR="00081E27">
        <w:rPr>
          <w:rFonts w:ascii="Calibri" w:hAnsi="Calibri" w:eastAsia="Calibri" w:cs="Calibri"/>
        </w:rPr>
        <w:t>implementation</w:t>
      </w:r>
      <w:r w:rsidR="007234D3">
        <w:rPr>
          <w:rFonts w:ascii="Calibri" w:hAnsi="Calibri" w:eastAsia="Calibri" w:cs="Calibri"/>
        </w:rPr>
        <w:t xml:space="preserve"> of city and states laws</w:t>
      </w:r>
      <w:r w:rsidR="00081E27">
        <w:rPr>
          <w:rFonts w:ascii="Calibri" w:hAnsi="Calibri" w:eastAsia="Calibri" w:cs="Calibri"/>
        </w:rPr>
        <w:t xml:space="preserve"> that grant</w:t>
      </w:r>
      <w:r w:rsidR="007234D3">
        <w:rPr>
          <w:rFonts w:ascii="Calibri" w:hAnsi="Calibri" w:eastAsia="Calibri" w:cs="Calibri"/>
        </w:rPr>
        <w:t xml:space="preserve"> rebate promotions </w:t>
      </w:r>
      <w:r w:rsidR="00081E27">
        <w:rPr>
          <w:rFonts w:ascii="Calibri" w:hAnsi="Calibri" w:eastAsia="Calibri" w:cs="Calibri"/>
        </w:rPr>
        <w:t>for electrification of building</w:t>
      </w:r>
      <w:r w:rsidR="00F63145">
        <w:rPr>
          <w:rFonts w:ascii="Calibri" w:hAnsi="Calibri" w:eastAsia="Calibri" w:cs="Calibri"/>
        </w:rPr>
        <w:t xml:space="preserve">, including heat pumps </w:t>
      </w:r>
      <w:r w:rsidR="00F318F9">
        <w:rPr>
          <w:rFonts w:ascii="Calibri" w:hAnsi="Calibri" w:eastAsia="Calibri" w:cs="Calibri"/>
        </w:rPr>
        <w:t>technology for water heaters</w:t>
      </w:r>
      <w:r w:rsidR="00D60329">
        <w:rPr>
          <w:rStyle w:val="FootnoteReference"/>
          <w:rFonts w:ascii="Calibri" w:hAnsi="Calibri" w:eastAsia="Calibri" w:cs="Calibri"/>
        </w:rPr>
        <w:footnoteReference w:id="5"/>
      </w:r>
      <w:r w:rsidR="004633F2">
        <w:rPr>
          <w:rFonts w:ascii="Calibri" w:hAnsi="Calibri" w:eastAsia="Calibri" w:cs="Calibri"/>
        </w:rPr>
        <w:t>.</w:t>
      </w:r>
      <w:r w:rsidR="00EA09C0">
        <w:rPr>
          <w:rFonts w:ascii="Calibri" w:hAnsi="Calibri" w:eastAsia="Calibri" w:cs="Calibri"/>
        </w:rPr>
        <w:t xml:space="preserve"> </w:t>
      </w:r>
    </w:p>
    <w:p w:rsidR="00380832" w:rsidP="00F64D36" w:rsidRDefault="00380832" w14:paraId="3E589F28" w14:textId="77777777">
      <w:pPr>
        <w:spacing w:line="256" w:lineRule="auto"/>
        <w:contextualSpacing/>
        <w:rPr>
          <w:rFonts w:ascii="Calibri" w:hAnsi="Calibri" w:eastAsia="Calibri" w:cs="Calibri"/>
        </w:rPr>
      </w:pPr>
    </w:p>
    <w:p w:rsidR="00380832" w:rsidP="00F64D36" w:rsidRDefault="00C1204C" w14:paraId="1E5D0153" w14:textId="00CFADFC">
      <w:pPr>
        <w:spacing w:line="25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Different regions </w:t>
      </w:r>
      <w:r w:rsidR="00B14462">
        <w:rPr>
          <w:rFonts w:ascii="Calibri" w:hAnsi="Calibri" w:eastAsia="Calibri" w:cs="Calibri"/>
        </w:rPr>
        <w:t xml:space="preserve">can </w:t>
      </w:r>
      <w:r w:rsidR="00980782">
        <w:rPr>
          <w:rFonts w:ascii="Calibri" w:hAnsi="Calibri" w:eastAsia="Calibri" w:cs="Calibri"/>
        </w:rPr>
        <w:t>vary</w:t>
      </w:r>
      <w:r w:rsidR="00B14462">
        <w:rPr>
          <w:rFonts w:ascii="Calibri" w:hAnsi="Calibri" w:eastAsia="Calibri" w:cs="Calibri"/>
        </w:rPr>
        <w:t xml:space="preserve"> significantly in their market growth for </w:t>
      </w:r>
      <w:r w:rsidR="0063098A">
        <w:rPr>
          <w:rFonts w:ascii="Calibri" w:hAnsi="Calibri" w:eastAsia="Calibri" w:cs="Calibri"/>
        </w:rPr>
        <w:t>HPWHs,</w:t>
      </w:r>
      <w:r w:rsidR="00B14462">
        <w:rPr>
          <w:rFonts w:ascii="Calibri" w:hAnsi="Calibri" w:eastAsia="Calibri" w:cs="Calibri"/>
        </w:rPr>
        <w:t xml:space="preserve"> so</w:t>
      </w:r>
      <w:r w:rsidR="00A47878">
        <w:rPr>
          <w:rFonts w:ascii="Calibri" w:hAnsi="Calibri" w:eastAsia="Calibri" w:cs="Calibri"/>
        </w:rPr>
        <w:t xml:space="preserve"> it is important to </w:t>
      </w:r>
      <w:r w:rsidR="007975D2">
        <w:rPr>
          <w:rFonts w:ascii="Calibri" w:hAnsi="Calibri" w:eastAsia="Calibri" w:cs="Calibri"/>
        </w:rPr>
        <w:t xml:space="preserve">perform additional research in order to best understand the circumstances in the local community. </w:t>
      </w:r>
      <w:r w:rsidR="00963826">
        <w:rPr>
          <w:rFonts w:ascii="Calibri" w:hAnsi="Calibri" w:eastAsia="Calibri" w:cs="Calibri"/>
        </w:rPr>
        <w:t xml:space="preserve">Doing so can benefit the business in such that they apply their resources </w:t>
      </w:r>
      <w:r w:rsidR="0046542E">
        <w:rPr>
          <w:rFonts w:ascii="Calibri" w:hAnsi="Calibri" w:eastAsia="Calibri" w:cs="Calibri"/>
        </w:rPr>
        <w:t>effectively in the sales of HPWHs.</w:t>
      </w:r>
      <w:r w:rsidR="003E4D74">
        <w:rPr>
          <w:rFonts w:ascii="Calibri" w:hAnsi="Calibri" w:eastAsia="Calibri" w:cs="Calibri"/>
        </w:rPr>
        <w:t xml:space="preserve"> Additional guidance on how to access </w:t>
      </w:r>
      <w:r w:rsidR="00B66BC4">
        <w:rPr>
          <w:rFonts w:ascii="Calibri" w:hAnsi="Calibri" w:eastAsia="Calibri" w:cs="Calibri"/>
        </w:rPr>
        <w:t xml:space="preserve">the local HPWH market can be found on the </w:t>
      </w:r>
      <w:r w:rsidR="00447B98">
        <w:rPr>
          <w:rFonts w:ascii="Calibri" w:hAnsi="Calibri" w:eastAsia="Calibri" w:cs="Calibri"/>
          <w:b/>
          <w:bCs/>
          <w:u w:val="single"/>
        </w:rPr>
        <w:t>Section 2.3</w:t>
      </w:r>
      <w:r w:rsidR="00B66BC4">
        <w:rPr>
          <w:rFonts w:ascii="Calibri" w:hAnsi="Calibri" w:eastAsia="Calibri" w:cs="Calibri"/>
        </w:rPr>
        <w:t xml:space="preserve"> of this module.</w:t>
      </w:r>
    </w:p>
    <w:p w:rsidR="00F64D36" w:rsidP="00F64D36" w:rsidRDefault="00F64D36" w14:paraId="59DBFD3E" w14:textId="77777777">
      <w:pPr>
        <w:spacing w:line="256" w:lineRule="auto"/>
        <w:contextualSpacing/>
        <w:rPr>
          <w:rFonts w:ascii="Calibri" w:hAnsi="Calibri" w:eastAsia="Calibri" w:cs="Calibri"/>
        </w:rPr>
      </w:pPr>
    </w:p>
    <w:p w:rsidR="00864222" w:rsidP="00864222" w:rsidRDefault="00864222" w14:paraId="39E0D305" w14:textId="347F66F6">
      <w:pPr>
        <w:rPr>
          <w:rFonts w:ascii="Calibri" w:hAnsi="Calibri" w:eastAsia="Calibri" w:cs="Calibri"/>
          <w:b/>
          <w:bCs/>
          <w:u w:val="single"/>
        </w:rPr>
      </w:pPr>
      <w:r>
        <w:rPr>
          <w:rFonts w:ascii="Calibri" w:hAnsi="Calibri" w:eastAsia="Calibri" w:cs="Calibri"/>
          <w:b/>
          <w:bCs/>
          <w:u w:val="single"/>
        </w:rPr>
        <w:t>Problem Set 2.2:</w:t>
      </w:r>
    </w:p>
    <w:p w:rsidR="00864222" w:rsidP="00864222" w:rsidRDefault="00864222" w14:paraId="7284BF4B" w14:textId="53728748">
      <w:pPr>
        <w:pStyle w:val="ListParagraph"/>
        <w:numPr>
          <w:ilvl w:val="0"/>
          <w:numId w:val="10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What </w:t>
      </w:r>
      <w:r w:rsidR="00A20389">
        <w:rPr>
          <w:rFonts w:ascii="Calibri" w:hAnsi="Calibri" w:eastAsia="Calibri" w:cs="Calibri"/>
        </w:rPr>
        <w:t xml:space="preserve">is an example of a </w:t>
      </w:r>
      <w:r>
        <w:rPr>
          <w:rFonts w:ascii="Calibri" w:hAnsi="Calibri" w:eastAsia="Calibri" w:cs="Calibri"/>
        </w:rPr>
        <w:t>regions are seeing</w:t>
      </w:r>
      <w:r w:rsidR="00BB736E">
        <w:rPr>
          <w:rFonts w:ascii="Calibri" w:hAnsi="Calibri" w:eastAsia="Calibri" w:cs="Calibri"/>
        </w:rPr>
        <w:t xml:space="preserve"> an </w:t>
      </w:r>
      <w:r>
        <w:rPr>
          <w:rFonts w:ascii="Calibri" w:hAnsi="Calibri" w:eastAsia="Calibri" w:cs="Calibri"/>
        </w:rPr>
        <w:t>increase in the adoption of HPWH</w:t>
      </w:r>
      <w:r w:rsidR="00641E19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>?</w:t>
      </w:r>
    </w:p>
    <w:p w:rsidR="00864222" w:rsidP="00864222" w:rsidRDefault="00864222" w14:paraId="5962539B" w14:textId="64ED375F">
      <w:pPr>
        <w:pStyle w:val="ListParagraph"/>
        <w:numPr>
          <w:ilvl w:val="0"/>
          <w:numId w:val="10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The national trend suggests that HPWH</w:t>
      </w:r>
      <w:r w:rsidR="00641E19"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</w:rPr>
        <w:t xml:space="preserve"> </w:t>
      </w:r>
      <w:r w:rsidR="0031249F">
        <w:rPr>
          <w:rFonts w:ascii="Calibri" w:hAnsi="Calibri" w:eastAsia="Calibri" w:cs="Calibri"/>
        </w:rPr>
        <w:t xml:space="preserve">are </w:t>
      </w:r>
      <w:r>
        <w:rPr>
          <w:rFonts w:ascii="Calibri" w:hAnsi="Calibri" w:eastAsia="Calibri" w:cs="Calibri"/>
        </w:rPr>
        <w:t>growing in market share.</w:t>
      </w:r>
    </w:p>
    <w:p w:rsidR="00864222" w:rsidP="00864222" w:rsidRDefault="00864222" w14:paraId="54DF669C" w14:textId="77777777">
      <w:pPr>
        <w:pStyle w:val="ListParagraph"/>
        <w:numPr>
          <w:ilvl w:val="1"/>
          <w:numId w:val="10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True </w:t>
      </w:r>
    </w:p>
    <w:p w:rsidRPr="00495F01" w:rsidR="00EC7EBC" w:rsidP="00BA2865" w:rsidRDefault="00864222" w14:paraId="59BE305B" w14:textId="554B9EED">
      <w:pPr>
        <w:pStyle w:val="ListParagraph"/>
        <w:numPr>
          <w:ilvl w:val="1"/>
          <w:numId w:val="10"/>
        </w:numPr>
      </w:pPr>
      <w:r>
        <w:rPr>
          <w:rFonts w:ascii="Calibri" w:hAnsi="Calibri" w:eastAsia="Calibri" w:cs="Calibri"/>
        </w:rPr>
        <w:t>False</w:t>
      </w:r>
      <w:r w:rsidRPr="00864222" w:rsidR="00230699">
        <w:rPr>
          <w:rFonts w:ascii="Calibri" w:hAnsi="Calibri" w:eastAsia="Calibri" w:cs="Calibri"/>
          <w:b/>
          <w:bCs/>
          <w:i/>
          <w:iCs/>
          <w:u w:val="single"/>
        </w:rPr>
        <w:br/>
      </w:r>
    </w:p>
    <w:p w:rsidRPr="000C734E" w:rsidR="007F482E" w:rsidP="007F482E" w:rsidRDefault="007F482E" w14:paraId="3F259326" w14:textId="044CFC3E">
      <w:pPr>
        <w:rPr>
          <w:rFonts w:ascii="Calibri" w:hAnsi="Calibri" w:eastAsia="Calibri" w:cs="Calibri"/>
          <w:b/>
          <w:bCs/>
          <w:u w:val="single"/>
        </w:rPr>
      </w:pPr>
      <w:r w:rsidRPr="000C734E">
        <w:rPr>
          <w:rFonts w:ascii="Calibri" w:hAnsi="Calibri" w:eastAsia="Calibri" w:cs="Calibri"/>
          <w:b/>
          <w:bCs/>
          <w:u w:val="single"/>
        </w:rPr>
        <w:t>Learning Objective 2.</w:t>
      </w:r>
      <w:r w:rsidRPr="000C734E" w:rsidR="006136F0">
        <w:rPr>
          <w:rFonts w:ascii="Calibri" w:hAnsi="Calibri" w:eastAsia="Calibri" w:cs="Calibri"/>
          <w:b/>
          <w:bCs/>
          <w:u w:val="single"/>
        </w:rPr>
        <w:t>3</w:t>
      </w:r>
      <w:r w:rsidRPr="000C734E">
        <w:rPr>
          <w:rFonts w:ascii="Calibri" w:hAnsi="Calibri" w:eastAsia="Calibri" w:cs="Calibri"/>
          <w:b/>
          <w:bCs/>
          <w:u w:val="single"/>
        </w:rPr>
        <w:t>:</w:t>
      </w:r>
    </w:p>
    <w:p w:rsidR="007F482E" w:rsidP="007F482E" w:rsidRDefault="00661687" w14:paraId="32D01B7E" w14:textId="574A5B1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Interpret</w:t>
      </w:r>
      <w:r>
        <w:rPr>
          <w:rFonts w:cstheme="minorHAnsi"/>
        </w:rPr>
        <w:t xml:space="preserve"> </w:t>
      </w:r>
      <w:r w:rsidR="007F482E">
        <w:rPr>
          <w:rFonts w:cstheme="minorHAnsi"/>
        </w:rPr>
        <w:t>and utilize additional resources for HPWH business development.</w:t>
      </w:r>
    </w:p>
    <w:p w:rsidRPr="007F482E" w:rsidR="007F482E" w:rsidP="007F482E" w:rsidRDefault="007F482E" w14:paraId="0311E250" w14:textId="77777777">
      <w:pPr>
        <w:pStyle w:val="ListParagraph"/>
        <w:spacing w:after="0" w:line="240" w:lineRule="auto"/>
        <w:textAlignment w:val="baseline"/>
        <w:rPr>
          <w:rFonts w:cstheme="minorHAnsi"/>
        </w:rPr>
      </w:pPr>
    </w:p>
    <w:p w:rsidRPr="00D036E0" w:rsidR="007F482E" w:rsidP="007F482E" w:rsidRDefault="007F482E" w14:paraId="74BB6F56" w14:textId="020901BA">
      <w:pPr>
        <w:rPr>
          <w:rFonts w:ascii="Calibri" w:hAnsi="Calibri" w:eastAsia="Calibri" w:cs="Calibri"/>
          <w:b/>
          <w:bCs/>
          <w:u w:val="single"/>
        </w:rPr>
      </w:pPr>
      <w:r w:rsidRPr="00D036E0">
        <w:rPr>
          <w:rFonts w:ascii="Calibri" w:hAnsi="Calibri" w:eastAsia="Calibri" w:cs="Calibri"/>
          <w:b/>
          <w:bCs/>
          <w:u w:val="single"/>
        </w:rPr>
        <w:t>Lecture Notes 2.</w:t>
      </w:r>
      <w:r w:rsidRPr="00D036E0" w:rsidR="006136F0">
        <w:rPr>
          <w:rFonts w:ascii="Calibri" w:hAnsi="Calibri" w:eastAsia="Calibri" w:cs="Calibri"/>
          <w:b/>
          <w:bCs/>
          <w:u w:val="single"/>
        </w:rPr>
        <w:t>3</w:t>
      </w:r>
      <w:r w:rsidRPr="00D036E0">
        <w:rPr>
          <w:rFonts w:ascii="Calibri" w:hAnsi="Calibri" w:eastAsia="Calibri" w:cs="Calibri"/>
          <w:b/>
          <w:bCs/>
          <w:u w:val="single"/>
        </w:rPr>
        <w:t>:</w:t>
      </w:r>
    </w:p>
    <w:p w:rsidRPr="002D0DBD" w:rsidR="007F482E" w:rsidP="007F482E" w:rsidRDefault="007F482E" w14:paraId="55AB29C8" w14:textId="77777777">
      <w:pPr>
        <w:rPr>
          <w:rFonts w:ascii="Calibri" w:hAnsi="Calibri" w:eastAsia="Calibri" w:cs="Calibri"/>
        </w:rPr>
      </w:pPr>
      <w:r w:rsidRPr="002D0DBD">
        <w:rPr>
          <w:rFonts w:ascii="Calibri" w:hAnsi="Calibri" w:eastAsia="Calibri" w:cs="Calibri"/>
        </w:rPr>
        <w:t>References:</w:t>
      </w:r>
    </w:p>
    <w:p w:rsidR="00A01766" w:rsidP="003C4DAD" w:rsidRDefault="00FC7824" w14:paraId="604BB007" w14:textId="627398D9">
      <w:pPr>
        <w:rPr>
          <w:rStyle w:val="Hyperlink"/>
        </w:rPr>
      </w:pPr>
      <w:r>
        <w:t>HotWaterSolutions</w:t>
      </w:r>
      <w:r w:rsidR="006D26BD">
        <w:t>.</w:t>
      </w:r>
      <w:r w:rsidR="000F2976">
        <w:t xml:space="preserve"> </w:t>
      </w:r>
      <w:r w:rsidRPr="00EE7567" w:rsidR="000F2976">
        <w:rPr>
          <w:i/>
          <w:iCs/>
        </w:rPr>
        <w:t>WELCOME TO THE HEAT PUMP WATER HEATER RESOURCE CENTER</w:t>
      </w:r>
      <w:r w:rsidR="000F2976">
        <w:rPr>
          <w:i/>
          <w:iCs/>
        </w:rPr>
        <w:t xml:space="preserve">. </w:t>
      </w:r>
      <w:r w:rsidR="000F2976">
        <w:t xml:space="preserve">Accessed 2023. </w:t>
      </w:r>
      <w:r w:rsidR="00626F14">
        <w:tab/>
      </w:r>
      <w:r w:rsidR="000F2976">
        <w:t>&lt;</w:t>
      </w:r>
      <w:r w:rsidRPr="00626F14" w:rsidR="00626F14">
        <w:t xml:space="preserve"> https://hotwatersolutionsnw.org/partners</w:t>
      </w:r>
      <w:r w:rsidR="00626F14">
        <w:t>&gt;</w:t>
      </w:r>
    </w:p>
    <w:p w:rsidR="00A01766" w:rsidP="003C4DAD" w:rsidRDefault="00FC7824" w14:paraId="1A414EF5" w14:textId="3E011E74">
      <w:r>
        <w:t>Efficiency Maine</w:t>
      </w:r>
      <w:r w:rsidR="00626F14">
        <w:t xml:space="preserve">. </w:t>
      </w:r>
      <w:r w:rsidRPr="00EE7567" w:rsidR="00626F14">
        <w:rPr>
          <w:i/>
          <w:iCs/>
        </w:rPr>
        <w:t>Heat Pump Water Heaters</w:t>
      </w:r>
      <w:r w:rsidR="00626F14">
        <w:t>.</w:t>
      </w:r>
      <w:r w:rsidR="00626F14">
        <w:rPr>
          <w:i/>
          <w:iCs/>
        </w:rPr>
        <w:t xml:space="preserve"> </w:t>
      </w:r>
      <w:r w:rsidR="00D15674">
        <w:t>Accessed 2023. &lt;</w:t>
      </w:r>
      <w:r w:rsidRPr="00D15674" w:rsidR="00D15674">
        <w:t xml:space="preserve"> </w:t>
      </w:r>
      <w:r w:rsidRPr="00EE7567" w:rsidR="00552504">
        <w:t>https://www.efficiencymaine.com/at-</w:t>
      </w:r>
      <w:r w:rsidR="00552504">
        <w:tab/>
      </w:r>
      <w:r w:rsidRPr="00D15674" w:rsidR="00D15674">
        <w:t>home/residential-forms/</w:t>
      </w:r>
      <w:r w:rsidR="00D15674">
        <w:t>&gt;.&lt;</w:t>
      </w:r>
      <w:r w:rsidRPr="00552504" w:rsidR="00552504">
        <w:t xml:space="preserve"> </w:t>
      </w:r>
      <w:r w:rsidRPr="00EE7567" w:rsidR="00552504">
        <w:t>https://www.efficiencymaine.com/at-home/water-heating-</w:t>
      </w:r>
      <w:r w:rsidR="00552504">
        <w:tab/>
      </w:r>
      <w:r w:rsidRPr="00552504" w:rsidR="00552504">
        <w:t>solutions/heat-pump-water-heaters/</w:t>
      </w:r>
      <w:r w:rsidR="00552504">
        <w:t>&gt;</w:t>
      </w:r>
    </w:p>
    <w:p w:rsidR="003E37DB" w:rsidP="003C4DAD" w:rsidRDefault="00417E6F" w14:paraId="35CBB862" w14:textId="50F4C732">
      <w:r w:rsidRPr="00441300">
        <w:t>National association of State Energy Officials</w:t>
      </w:r>
      <w:r w:rsidR="00076A7D">
        <w:t>. Accessed 2023. &lt;</w:t>
      </w:r>
      <w:r w:rsidRPr="005A2BBF" w:rsidR="005A2BBF">
        <w:t xml:space="preserve"> https://www.naseo.org/</w:t>
      </w:r>
      <w:r w:rsidR="005A2BBF">
        <w:t>&gt;</w:t>
      </w:r>
    </w:p>
    <w:p w:rsidR="007F482E" w:rsidP="003C4DAD" w:rsidRDefault="007F482E" w14:paraId="6659BDDD" w14:textId="7F3FFDC3">
      <w:r>
        <w:rPr>
          <w:b/>
          <w:bCs/>
          <w:u w:val="single"/>
        </w:rPr>
        <w:t>Additional Resources</w:t>
      </w:r>
      <w:r w:rsidR="00C21395">
        <w:rPr>
          <w:b/>
          <w:bCs/>
          <w:u w:val="single"/>
        </w:rPr>
        <w:t xml:space="preserve"> – HotWaterSolutions</w:t>
      </w:r>
      <w:r>
        <w:rPr>
          <w:b/>
          <w:bCs/>
          <w:u w:val="single"/>
        </w:rPr>
        <w:br/>
      </w:r>
      <w:r>
        <w:t xml:space="preserve">A valuable source of information that aims to </w:t>
      </w:r>
      <w:r w:rsidR="004460BC">
        <w:t xml:space="preserve">facilitate </w:t>
      </w:r>
      <w:r>
        <w:t>business development of HPWH</w:t>
      </w:r>
      <w:r w:rsidR="00641E19">
        <w:t>s</w:t>
      </w:r>
      <w:r>
        <w:t xml:space="preserve"> is provided by HotWaterSolutions partners page (</w:t>
      </w:r>
      <w:hyperlink w:history="1" r:id="rId14">
        <w:r>
          <w:rPr>
            <w:rStyle w:val="Hyperlink"/>
          </w:rPr>
          <w:t>HotWaterSolutionsNW.org | Partners</w:t>
        </w:r>
      </w:hyperlink>
      <w:r>
        <w:t xml:space="preserve">). This site provides valuable marketing content and information for potential businesses. This content includes marketing assets, sales materials, and HPWH strategies/planning. </w:t>
      </w:r>
    </w:p>
    <w:p w:rsidR="007F482E" w:rsidP="003C4DAD" w:rsidRDefault="007F482E" w14:paraId="0B4C5563" w14:textId="43E3E14F">
      <w:r>
        <w:t>HotWaterSolutions offer orientations and training for installers to become more proficient in the practice of installing HPWH</w:t>
      </w:r>
      <w:r w:rsidR="00641E19">
        <w:t>s</w:t>
      </w:r>
      <w:r>
        <w:t xml:space="preserve">, ultimately providing a more valuable service. Additionally, the website includes training presentations for sales teams and individuals. </w:t>
      </w:r>
    </w:p>
    <w:p w:rsidR="00C21395" w:rsidP="003C4DAD" w:rsidRDefault="007F482E" w14:paraId="1711B2F9" w14:textId="7ACCEB97">
      <w:r>
        <w:t xml:space="preserve">Lastly, the website includes a comprehensive </w:t>
      </w:r>
      <w:r w:rsidR="00380926">
        <w:t>database of the technical spec</w:t>
      </w:r>
      <w:r w:rsidR="00641E19">
        <w:t>ification</w:t>
      </w:r>
      <w:r w:rsidR="00380926">
        <w:t>s of HPWH</w:t>
      </w:r>
      <w:r w:rsidR="00641E19">
        <w:t>s</w:t>
      </w:r>
      <w:r w:rsidR="00380926">
        <w:t xml:space="preserve"> from leading HPWH manufacturers. This allows businesses to quick</w:t>
      </w:r>
      <w:r w:rsidR="00434375">
        <w:t>ly</w:t>
      </w:r>
      <w:r w:rsidR="00380926">
        <w:t xml:space="preserve"> browse and specify what HPWH units best fits the needs of their customers, ultimately providing a better service that satisfies their customers. </w:t>
      </w:r>
    </w:p>
    <w:p w:rsidR="00BD662C" w:rsidP="003C4DAD" w:rsidRDefault="00BD662C" w14:paraId="6875193F" w14:textId="77777777"/>
    <w:p w:rsidR="00E067E8" w:rsidP="003C4DAD" w:rsidRDefault="00C21395" w14:paraId="4164F849" w14:textId="4EB6C78A">
      <w:r>
        <w:rPr>
          <w:b/>
          <w:bCs/>
          <w:u w:val="single"/>
        </w:rPr>
        <w:t>Additional Resources –</w:t>
      </w:r>
      <w:r w:rsidR="007D6B36">
        <w:rPr>
          <w:b/>
          <w:bCs/>
          <w:u w:val="single"/>
        </w:rPr>
        <w:t xml:space="preserve"> </w:t>
      </w:r>
      <w:r w:rsidR="00885E03">
        <w:rPr>
          <w:b/>
          <w:bCs/>
          <w:u w:val="single"/>
        </w:rPr>
        <w:t xml:space="preserve">State Specific </w:t>
      </w:r>
      <w:r w:rsidR="008D7EED">
        <w:rPr>
          <w:b/>
          <w:bCs/>
          <w:u w:val="single"/>
        </w:rPr>
        <w:t>Organizations</w:t>
      </w:r>
      <w:r w:rsidR="008D7EED">
        <w:rPr>
          <w:b/>
          <w:bCs/>
          <w:u w:val="single"/>
        </w:rPr>
        <w:br/>
      </w:r>
      <w:r w:rsidR="008D7EED">
        <w:t xml:space="preserve">Searching for </w:t>
      </w:r>
      <w:r w:rsidR="00304FE7">
        <w:t xml:space="preserve">non-profit or state </w:t>
      </w:r>
      <w:r w:rsidR="00803334">
        <w:t>government</w:t>
      </w:r>
      <w:r w:rsidR="00304FE7">
        <w:t xml:space="preserve"> </w:t>
      </w:r>
      <w:r w:rsidR="00803334">
        <w:t xml:space="preserve">organizations that work to promote </w:t>
      </w:r>
      <w:r w:rsidR="00155A40">
        <w:t xml:space="preserve">energy use reduction </w:t>
      </w:r>
      <w:r w:rsidR="00200010">
        <w:t>by the adoption of energy efficient appliances (such as HPWHs)</w:t>
      </w:r>
      <w:r w:rsidR="008B72BA">
        <w:t xml:space="preserve"> can yield valuable resources. </w:t>
      </w:r>
      <w:r w:rsidR="00F82366">
        <w:t xml:space="preserve">These </w:t>
      </w:r>
      <w:r w:rsidR="001555A6">
        <w:t>organizations</w:t>
      </w:r>
      <w:r w:rsidR="00F82366">
        <w:t xml:space="preserve"> often put out valuable </w:t>
      </w:r>
      <w:r w:rsidR="00ED1DC0">
        <w:t xml:space="preserve">educational </w:t>
      </w:r>
      <w:r w:rsidR="00F60722">
        <w:t xml:space="preserve">information in the form of pamphlets, brochures, and </w:t>
      </w:r>
      <w:r w:rsidR="0010524F">
        <w:t>videos</w:t>
      </w:r>
      <w:r w:rsidR="000C3D4E">
        <w:t xml:space="preserve">. This educational information is often catered to serve the specific regional </w:t>
      </w:r>
      <w:r w:rsidR="0010524F">
        <w:t xml:space="preserve">landscape </w:t>
      </w:r>
      <w:r w:rsidR="00125B82">
        <w:t xml:space="preserve">in both climate and government. </w:t>
      </w:r>
      <w:r w:rsidR="00D00865">
        <w:t xml:space="preserve">For example, different climate zones in the US may </w:t>
      </w:r>
      <w:r w:rsidR="00AC2B2B">
        <w:t xml:space="preserve">benefit </w:t>
      </w:r>
      <w:r w:rsidR="00645694">
        <w:t xml:space="preserve">to a different degree from the energy savings from HPWHs than others. While </w:t>
      </w:r>
      <w:r w:rsidR="00190C1B">
        <w:t>state governments may offer varying amounts of incentives f</w:t>
      </w:r>
      <w:r w:rsidR="00743049">
        <w:t xml:space="preserve">or energy efficient </w:t>
      </w:r>
      <w:r w:rsidR="009832B4">
        <w:t xml:space="preserve">appliance adoptions, </w:t>
      </w:r>
      <w:r w:rsidR="00E067E8">
        <w:t>which would require state specific paperwork/procedure to claim.</w:t>
      </w:r>
    </w:p>
    <w:p w:rsidR="00494E35" w:rsidP="003C4DAD" w:rsidRDefault="00E067E8" w14:paraId="3BAD27A0" w14:textId="77777777">
      <w:r>
        <w:t>An example of such a</w:t>
      </w:r>
      <w:r w:rsidR="00640C00">
        <w:t xml:space="preserve">n organization is </w:t>
      </w:r>
      <w:r w:rsidR="00B37765">
        <w:t>Efficiency Maine Trust</w:t>
      </w:r>
      <w:r w:rsidR="009E486E">
        <w:t xml:space="preserve">. From their own description, </w:t>
      </w:r>
      <w:r w:rsidR="00EE75BF">
        <w:t>“</w:t>
      </w:r>
      <w:r w:rsidRPr="00EE75BF" w:rsidR="00EE75BF">
        <w:t>The Efficiency Maine Trust (Efficiency Maine) is the independent, quasi-state agency established to plan and implement energy efficiency programs in Maine</w:t>
      </w:r>
      <w:r w:rsidR="00EE75BF">
        <w:t>”</w:t>
      </w:r>
      <w:r w:rsidR="00EE75BF">
        <w:rPr>
          <w:rStyle w:val="FootnoteReference"/>
        </w:rPr>
        <w:footnoteReference w:id="6"/>
      </w:r>
      <w:r w:rsidR="00D84A63">
        <w:t xml:space="preserve">. Their educational content </w:t>
      </w:r>
      <w:r w:rsidR="00802BC1">
        <w:t xml:space="preserve">for </w:t>
      </w:r>
      <w:r w:rsidR="001662FB">
        <w:t xml:space="preserve">HPWHs includes </w:t>
      </w:r>
      <w:r w:rsidR="00250A21">
        <w:t xml:space="preserve">heat Pump water heater </w:t>
      </w:r>
      <w:r w:rsidR="00A9697D">
        <w:t xml:space="preserve">rebate claim forms, </w:t>
      </w:r>
      <w:r w:rsidR="00250A21">
        <w:t>user tips, myths, and facts</w:t>
      </w:r>
      <w:r w:rsidR="00B0575A">
        <w:t>, testimonials from plumbers, prices, and discount brochures</w:t>
      </w:r>
      <w:r w:rsidR="008546DE">
        <w:rPr>
          <w:rStyle w:val="FootnoteReference"/>
        </w:rPr>
        <w:footnoteReference w:id="7"/>
      </w:r>
      <w:r w:rsidR="00B0575A">
        <w:t>. This content can be used by businesses to bolster their sales of HPWHs</w:t>
      </w:r>
      <w:r w:rsidR="0011377F">
        <w:t xml:space="preserve"> by </w:t>
      </w:r>
      <w:r w:rsidR="009E61A6">
        <w:t>passing forward their educational content to potential customers</w:t>
      </w:r>
      <w:r w:rsidR="00B0575A">
        <w:t xml:space="preserve"> at no additional costs. </w:t>
      </w:r>
      <w:r w:rsidR="008546DE">
        <w:t xml:space="preserve">Lastly, </w:t>
      </w:r>
      <w:r w:rsidR="009E61A6">
        <w:t>they</w:t>
      </w:r>
      <w:r w:rsidR="00C927C6">
        <w:t xml:space="preserve"> have tools for </w:t>
      </w:r>
      <w:r w:rsidR="00DA71E9">
        <w:t xml:space="preserve">prospective </w:t>
      </w:r>
      <w:r w:rsidR="00C927C6">
        <w:t xml:space="preserve">customers to </w:t>
      </w:r>
      <w:r w:rsidR="00DA71E9">
        <w:t xml:space="preserve">search </w:t>
      </w:r>
      <w:r w:rsidR="00B06F38">
        <w:t>for nearby vendors of desired energy efficient vendors</w:t>
      </w:r>
      <w:r w:rsidR="000964A2">
        <w:rPr>
          <w:rStyle w:val="FootnoteReference"/>
        </w:rPr>
        <w:footnoteReference w:id="8"/>
      </w:r>
      <w:r w:rsidR="00B06F38">
        <w:t xml:space="preserve">. </w:t>
      </w:r>
      <w:r w:rsidR="006A02F4">
        <w:t xml:space="preserve">It would be beneficial for businesses to increase their visibility by </w:t>
      </w:r>
      <w:r w:rsidR="00215047">
        <w:t>be</w:t>
      </w:r>
      <w:r w:rsidR="004B5447">
        <w:t>coming a registered vendor and becoming</w:t>
      </w:r>
      <w:r w:rsidR="00215047">
        <w:t xml:space="preserve"> searchable in these databases</w:t>
      </w:r>
      <w:r w:rsidR="00643BAC">
        <w:rPr>
          <w:rStyle w:val="FootnoteReference"/>
        </w:rPr>
        <w:footnoteReference w:id="9"/>
      </w:r>
      <w:r w:rsidR="00215047">
        <w:t xml:space="preserve">. </w:t>
      </w:r>
    </w:p>
    <w:p w:rsidR="003C4DAD" w:rsidP="003C4DAD" w:rsidRDefault="00494E35" w14:paraId="1DB95AC6" w14:textId="3F626505">
      <w:r>
        <w:t xml:space="preserve">While Efficiency Maine operates in the state of Maine, similar entities operate </w:t>
      </w:r>
      <w:r w:rsidR="00D37E16">
        <w:t xml:space="preserve">across the U.S. that serve </w:t>
      </w:r>
      <w:r w:rsidR="00366E43">
        <w:t>their particular regions. It take</w:t>
      </w:r>
      <w:r w:rsidR="00B97611">
        <w:t>s</w:t>
      </w:r>
      <w:r w:rsidR="00366E43">
        <w:t xml:space="preserve"> effort from the businesses to find these </w:t>
      </w:r>
      <w:r w:rsidR="00375244">
        <w:t>organizations</w:t>
      </w:r>
      <w:r w:rsidR="00EC4D07">
        <w:t>. T</w:t>
      </w:r>
      <w:r w:rsidR="0084348F">
        <w:t>he</w:t>
      </w:r>
      <w:r w:rsidR="00967426">
        <w:t xml:space="preserve"> </w:t>
      </w:r>
      <w:hyperlink w:history="1" r:id="rId15">
        <w:r w:rsidRPr="00255E80" w:rsidR="00967426">
          <w:rPr>
            <w:rStyle w:val="Hyperlink"/>
          </w:rPr>
          <w:t>National Association of State Energy Officials</w:t>
        </w:r>
      </w:hyperlink>
      <w:r w:rsidR="00967426">
        <w:t xml:space="preserve"> (NASEO)</w:t>
      </w:r>
      <w:r w:rsidR="00873E9F">
        <w:t xml:space="preserve"> provides an interactive map/database that </w:t>
      </w:r>
      <w:r w:rsidR="00991484">
        <w:t>can help find your state</w:t>
      </w:r>
      <w:r w:rsidR="00641E19">
        <w:t>’</w:t>
      </w:r>
      <w:r w:rsidR="00991484">
        <w:t>s</w:t>
      </w:r>
      <w:r w:rsidR="00402C20">
        <w:t xml:space="preserve"> energy </w:t>
      </w:r>
      <w:r w:rsidR="005450C5">
        <w:t>offices and organizations</w:t>
      </w:r>
      <w:r w:rsidR="00991484">
        <w:t xml:space="preserve">. </w:t>
      </w:r>
      <w:r w:rsidR="00641E19">
        <w:t xml:space="preserve">State energy offices </w:t>
      </w:r>
      <w:r w:rsidR="001015CD">
        <w:t xml:space="preserve">will generally </w:t>
      </w:r>
      <w:r w:rsidR="00641E19">
        <w:t xml:space="preserve">provide </w:t>
      </w:r>
      <w:r w:rsidR="001015CD">
        <w:t>information</w:t>
      </w:r>
      <w:r w:rsidR="00C24309">
        <w:t xml:space="preserve"> and links</w:t>
      </w:r>
      <w:r w:rsidR="001015CD">
        <w:t xml:space="preserve"> </w:t>
      </w:r>
      <w:r w:rsidR="006247B7">
        <w:t>to</w:t>
      </w:r>
      <w:r w:rsidR="001015CD">
        <w:t xml:space="preserve"> energy </w:t>
      </w:r>
      <w:r w:rsidR="00680C45">
        <w:t>related events</w:t>
      </w:r>
      <w:r w:rsidR="00C24309">
        <w:t>, promotions, and organizations</w:t>
      </w:r>
      <w:r w:rsidR="00A31509">
        <w:t xml:space="preserve"> that promote </w:t>
      </w:r>
      <w:r w:rsidR="00B826C4">
        <w:t>energy efficien</w:t>
      </w:r>
      <w:r w:rsidR="002B7BC3">
        <w:t>t appliances</w:t>
      </w:r>
      <w:r w:rsidR="00B826C4">
        <w:t xml:space="preserve"> </w:t>
      </w:r>
      <w:r w:rsidR="00C24309">
        <w:t>(</w:t>
      </w:r>
      <w:r w:rsidR="00B826C4">
        <w:t>s</w:t>
      </w:r>
      <w:r w:rsidR="00C24309">
        <w:t xml:space="preserve">uch as </w:t>
      </w:r>
      <w:r w:rsidR="00641E19">
        <w:t>E</w:t>
      </w:r>
      <w:r w:rsidR="00E72C74">
        <w:t xml:space="preserve">fficiency </w:t>
      </w:r>
      <w:r w:rsidR="00B826C4">
        <w:t>Maine</w:t>
      </w:r>
      <w:r w:rsidR="00E72C74">
        <w:t>)</w:t>
      </w:r>
      <w:r w:rsidR="00B826C4">
        <w:t>.</w:t>
      </w:r>
    </w:p>
    <w:p w:rsidR="00C74D43" w:rsidP="003C4DAD" w:rsidRDefault="00C74D43" w14:paraId="73666699" w14:textId="77777777"/>
    <w:p w:rsidR="00DD7587" w:rsidP="00DD7587" w:rsidRDefault="00DD7587" w14:paraId="6866EFAE" w14:textId="5D517FE7">
      <w:pPr>
        <w:rPr>
          <w:rFonts w:ascii="Calibri" w:hAnsi="Calibri" w:eastAsia="Calibri" w:cs="Calibri"/>
          <w:b/>
          <w:bCs/>
          <w:u w:val="single"/>
        </w:rPr>
      </w:pPr>
      <w:r>
        <w:rPr>
          <w:rFonts w:ascii="Calibri" w:hAnsi="Calibri" w:eastAsia="Calibri" w:cs="Calibri"/>
          <w:b/>
          <w:bCs/>
          <w:u w:val="single"/>
        </w:rPr>
        <w:t>Problem Set 2.</w:t>
      </w:r>
      <w:r w:rsidR="006136F0">
        <w:rPr>
          <w:rFonts w:ascii="Calibri" w:hAnsi="Calibri" w:eastAsia="Calibri" w:cs="Calibri"/>
          <w:b/>
          <w:bCs/>
          <w:u w:val="single"/>
        </w:rPr>
        <w:t>3</w:t>
      </w:r>
      <w:r>
        <w:rPr>
          <w:rFonts w:ascii="Calibri" w:hAnsi="Calibri" w:eastAsia="Calibri" w:cs="Calibri"/>
          <w:b/>
          <w:bCs/>
          <w:u w:val="single"/>
        </w:rPr>
        <w:t>:</w:t>
      </w:r>
    </w:p>
    <w:p w:rsidR="00DD7587" w:rsidP="00DD7587" w:rsidRDefault="00F44863" w14:paraId="5005C66B" w14:textId="21D3A25F">
      <w:pPr>
        <w:pStyle w:val="ListParagraph"/>
        <w:numPr>
          <w:ilvl w:val="0"/>
          <w:numId w:val="1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What website can be used to help located non-profit, or state government organizations that </w:t>
      </w:r>
      <w:r w:rsidR="00735B75">
        <w:rPr>
          <w:rFonts w:ascii="Calibri" w:hAnsi="Calibri" w:eastAsia="Calibri" w:cs="Calibri"/>
        </w:rPr>
        <w:t xml:space="preserve">promote energy efficient technologies via a number of techniques that include, but not limited to information on </w:t>
      </w:r>
      <w:r w:rsidR="00543281">
        <w:rPr>
          <w:rFonts w:ascii="Calibri" w:hAnsi="Calibri" w:eastAsia="Calibri" w:cs="Calibri"/>
        </w:rPr>
        <w:t>rebate</w:t>
      </w:r>
      <w:r w:rsidR="00735B75">
        <w:rPr>
          <w:rFonts w:ascii="Calibri" w:hAnsi="Calibri" w:eastAsia="Calibri" w:cs="Calibri"/>
        </w:rPr>
        <w:t xml:space="preserve"> programs, </w:t>
      </w:r>
      <w:r w:rsidR="00543281">
        <w:rPr>
          <w:rFonts w:ascii="Calibri" w:hAnsi="Calibri" w:eastAsia="Calibri" w:cs="Calibri"/>
        </w:rPr>
        <w:t>searchable</w:t>
      </w:r>
      <w:r w:rsidR="003F35D5">
        <w:rPr>
          <w:rFonts w:ascii="Calibri" w:hAnsi="Calibri" w:eastAsia="Calibri" w:cs="Calibri"/>
        </w:rPr>
        <w:t xml:space="preserve"> registry, and </w:t>
      </w:r>
      <w:r w:rsidR="00697E9C">
        <w:rPr>
          <w:rFonts w:ascii="Calibri" w:hAnsi="Calibri" w:eastAsia="Calibri" w:cs="Calibri"/>
        </w:rPr>
        <w:t>educational con</w:t>
      </w:r>
      <w:r w:rsidR="00277661">
        <w:rPr>
          <w:rFonts w:ascii="Calibri" w:hAnsi="Calibri" w:eastAsia="Calibri" w:cs="Calibri"/>
        </w:rPr>
        <w:t>tent for businesses</w:t>
      </w:r>
      <w:r w:rsidR="00641E19">
        <w:rPr>
          <w:rFonts w:ascii="Calibri" w:hAnsi="Calibri" w:eastAsia="Calibri" w:cs="Calibri"/>
        </w:rPr>
        <w:t>?</w:t>
      </w:r>
    </w:p>
    <w:p w:rsidRPr="00DB566D" w:rsidR="008E55D0" w:rsidP="003C4DAD" w:rsidRDefault="002B7E79" w14:paraId="4A8833B0" w14:textId="6960DECB">
      <w:pPr>
        <w:pStyle w:val="ListParagraph"/>
        <w:numPr>
          <w:ilvl w:val="0"/>
          <w:numId w:val="12"/>
        </w:num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Using the information in this section, </w:t>
      </w:r>
      <w:r w:rsidR="00641E19">
        <w:rPr>
          <w:rFonts w:ascii="Calibri" w:hAnsi="Calibri" w:eastAsia="Calibri" w:cs="Calibri"/>
        </w:rPr>
        <w:t>find</w:t>
      </w:r>
      <w:r>
        <w:rPr>
          <w:rFonts w:ascii="Calibri" w:hAnsi="Calibri" w:eastAsia="Calibri" w:cs="Calibri"/>
        </w:rPr>
        <w:t xml:space="preserve"> a</w:t>
      </w:r>
      <w:r w:rsidR="00364D65">
        <w:rPr>
          <w:rFonts w:ascii="Calibri" w:hAnsi="Calibri" w:eastAsia="Calibri" w:cs="Calibri"/>
        </w:rPr>
        <w:t xml:space="preserve">n organization </w:t>
      </w:r>
      <w:r w:rsidR="00CE3602">
        <w:rPr>
          <w:rFonts w:ascii="Calibri" w:hAnsi="Calibri" w:eastAsia="Calibri" w:cs="Calibri"/>
        </w:rPr>
        <w:t xml:space="preserve">that promotes energy </w:t>
      </w:r>
      <w:r w:rsidR="00F743CB">
        <w:rPr>
          <w:rFonts w:ascii="Calibri" w:hAnsi="Calibri" w:eastAsia="Calibri" w:cs="Calibri"/>
        </w:rPr>
        <w:t>efficient appliance adoptions, and</w:t>
      </w:r>
      <w:r w:rsidR="00364D65">
        <w:rPr>
          <w:rFonts w:ascii="Calibri" w:hAnsi="Calibri" w:eastAsia="Calibri" w:cs="Calibri"/>
        </w:rPr>
        <w:t xml:space="preserve"> serves your local area or state</w:t>
      </w:r>
      <w:r w:rsidR="00D07889">
        <w:rPr>
          <w:rFonts w:ascii="Calibri" w:hAnsi="Calibri" w:eastAsia="Calibri" w:cs="Calibri"/>
        </w:rPr>
        <w:t xml:space="preserve">. </w:t>
      </w:r>
    </w:p>
    <w:sectPr w:rsidRPr="00DB566D" w:rsidR="008E55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68A" w:rsidP="00580C21" w:rsidRDefault="0007568A" w14:paraId="5DE7BF9F" w14:textId="77777777">
      <w:pPr>
        <w:spacing w:after="0" w:line="240" w:lineRule="auto"/>
      </w:pPr>
      <w:r>
        <w:separator/>
      </w:r>
    </w:p>
  </w:endnote>
  <w:endnote w:type="continuationSeparator" w:id="0">
    <w:p w:rsidR="0007568A" w:rsidP="00580C21" w:rsidRDefault="0007568A" w14:paraId="3F86B9D0" w14:textId="77777777">
      <w:pPr>
        <w:spacing w:after="0" w:line="240" w:lineRule="auto"/>
      </w:pPr>
      <w:r>
        <w:continuationSeparator/>
      </w:r>
    </w:p>
  </w:endnote>
  <w:endnote w:type="continuationNotice" w:id="1">
    <w:p w:rsidR="0007568A" w:rsidRDefault="0007568A" w14:paraId="60963A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68A" w:rsidP="00580C21" w:rsidRDefault="0007568A" w14:paraId="24E308AB" w14:textId="77777777">
      <w:pPr>
        <w:spacing w:after="0" w:line="240" w:lineRule="auto"/>
      </w:pPr>
      <w:r>
        <w:separator/>
      </w:r>
    </w:p>
  </w:footnote>
  <w:footnote w:type="continuationSeparator" w:id="0">
    <w:p w:rsidR="0007568A" w:rsidP="00580C21" w:rsidRDefault="0007568A" w14:paraId="3781E09A" w14:textId="77777777">
      <w:pPr>
        <w:spacing w:after="0" w:line="240" w:lineRule="auto"/>
      </w:pPr>
      <w:r>
        <w:continuationSeparator/>
      </w:r>
    </w:p>
  </w:footnote>
  <w:footnote w:type="continuationNotice" w:id="1">
    <w:p w:rsidR="0007568A" w:rsidRDefault="0007568A" w14:paraId="6423852A" w14:textId="77777777">
      <w:pPr>
        <w:spacing w:after="0" w:line="240" w:lineRule="auto"/>
      </w:pPr>
    </w:p>
  </w:footnote>
  <w:footnote w:id="2">
    <w:p w:rsidR="009C435A" w:rsidRDefault="009C435A" w14:paraId="2CD0C532" w14:textId="6E9B75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187E" w:rsidR="008C187E">
        <w:t>Residential Heat Pump (Hybrid) Water Heater Market, Production, and Trade</w:t>
      </w:r>
    </w:p>
  </w:footnote>
  <w:footnote w:id="3">
    <w:p w:rsidR="009816D1" w:rsidRDefault="009816D1" w14:paraId="44288F6D" w14:textId="0D6D3E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2FFE">
        <w:rPr>
          <w:rFonts w:ascii="Calibri" w:hAnsi="Calibri" w:eastAsia="Calibri" w:cs="Calibri"/>
        </w:rPr>
        <w:t>Northwest Heat Pump Water Heater Market Progress Evaluation Report #6</w:t>
      </w:r>
    </w:p>
  </w:footnote>
  <w:footnote w:id="4">
    <w:p w:rsidRPr="00D60329" w:rsidR="00D60329" w:rsidRDefault="009816D1" w14:paraId="3085D650" w14:textId="1C838713">
      <w:pPr>
        <w:pStyle w:val="FootnoteText"/>
        <w:rPr>
          <w:color w:val="0000FF"/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="00D60329">
        <w:t xml:space="preserve">California Energy commission: </w:t>
      </w:r>
      <w:hyperlink w:history="1" r:id="rId1">
        <w:r w:rsidR="00D60329">
          <w:rPr>
            <w:rStyle w:val="Hyperlink"/>
          </w:rPr>
          <w:t>Building Energy Efficiency Standards - Title 24 | California Energy Commission</w:t>
        </w:r>
      </w:hyperlink>
    </w:p>
  </w:footnote>
  <w:footnote w:id="5">
    <w:p w:rsidR="00D60329" w:rsidRDefault="00D60329" w14:paraId="4364E8EB" w14:textId="0A45EE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73FB" w:rsidR="005D73FB">
        <w:t>Northeast/Mid-Atlantic Heating Electrification Market Transformation Progress Report</w:t>
      </w:r>
    </w:p>
  </w:footnote>
  <w:footnote w:id="6">
    <w:p w:rsidR="00EE75BF" w:rsidRDefault="00EE75BF" w14:paraId="1718B383" w14:textId="1FA3B7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2">
        <w:r w:rsidR="009D763D">
          <w:rPr>
            <w:rStyle w:val="Hyperlink"/>
          </w:rPr>
          <w:t>Efficiency Maine | Saving energy, reducing energy costs, and improving energy conservation</w:t>
        </w:r>
      </w:hyperlink>
    </w:p>
  </w:footnote>
  <w:footnote w:id="7">
    <w:p w:rsidR="008546DE" w:rsidRDefault="008546DE" w14:paraId="6A397744" w14:textId="46CF24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3">
        <w:r>
          <w:rPr>
            <w:rStyle w:val="Hyperlink"/>
          </w:rPr>
          <w:t>Maine Home Energy Upgrade Forms &amp; Checklists | Efficiency Maine</w:t>
        </w:r>
      </w:hyperlink>
    </w:p>
  </w:footnote>
  <w:footnote w:id="8">
    <w:p w:rsidR="000964A2" w:rsidRDefault="000964A2" w14:paraId="702927AA" w14:textId="56C797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4">
        <w:r>
          <w:rPr>
            <w:rStyle w:val="Hyperlink"/>
          </w:rPr>
          <w:t>Find a Residential Registered Maine Energy Vendor | Efficiency Maine</w:t>
        </w:r>
      </w:hyperlink>
    </w:p>
  </w:footnote>
  <w:footnote w:id="9">
    <w:p w:rsidR="00643BAC" w:rsidRDefault="00643BAC" w14:paraId="5FACF51E" w14:textId="05D7B0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r:id="rId5">
        <w:r>
          <w:rPr>
            <w:rStyle w:val="Hyperlink"/>
          </w:rPr>
          <w:t>Residential Registered Vendors - Efficiency Maine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35D"/>
    <w:multiLevelType w:val="hybridMultilevel"/>
    <w:tmpl w:val="6FDCEC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501A9"/>
    <w:multiLevelType w:val="hybridMultilevel"/>
    <w:tmpl w:val="B496955A"/>
    <w:lvl w:ilvl="0" w:tplc="0F325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9A3"/>
    <w:multiLevelType w:val="hybridMultilevel"/>
    <w:tmpl w:val="5F40AC70"/>
    <w:lvl w:ilvl="0" w:tplc="F38A75D8">
      <w:start w:val="365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E41A29"/>
    <w:multiLevelType w:val="hybridMultilevel"/>
    <w:tmpl w:val="FCF8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7D48"/>
    <w:multiLevelType w:val="hybridMultilevel"/>
    <w:tmpl w:val="AF7CB140"/>
    <w:lvl w:ilvl="0" w:tplc="7E784F9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CB3CAE"/>
    <w:multiLevelType w:val="hybridMultilevel"/>
    <w:tmpl w:val="73D8AB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343903"/>
    <w:multiLevelType w:val="hybridMultilevel"/>
    <w:tmpl w:val="6FD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9024F"/>
    <w:multiLevelType w:val="hybridMultilevel"/>
    <w:tmpl w:val="41D871D6"/>
    <w:lvl w:ilvl="0" w:tplc="C26E9EC4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897196"/>
    <w:multiLevelType w:val="hybridMultilevel"/>
    <w:tmpl w:val="77DA7B00"/>
    <w:lvl w:ilvl="0" w:tplc="E556BA0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921FB4"/>
    <w:multiLevelType w:val="hybridMultilevel"/>
    <w:tmpl w:val="678A9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12"/>
    <w:multiLevelType w:val="hybridMultilevel"/>
    <w:tmpl w:val="678A9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F316E"/>
    <w:multiLevelType w:val="hybridMultilevel"/>
    <w:tmpl w:val="1204A5B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7717258">
    <w:abstractNumId w:val="2"/>
  </w:num>
  <w:num w:numId="2" w16cid:durableId="2005892600">
    <w:abstractNumId w:val="3"/>
  </w:num>
  <w:num w:numId="3" w16cid:durableId="900412003">
    <w:abstractNumId w:val="1"/>
  </w:num>
  <w:num w:numId="4" w16cid:durableId="623971610">
    <w:abstractNumId w:val="4"/>
  </w:num>
  <w:num w:numId="5" w16cid:durableId="1171067230">
    <w:abstractNumId w:val="8"/>
  </w:num>
  <w:num w:numId="6" w16cid:durableId="402407824">
    <w:abstractNumId w:val="7"/>
  </w:num>
  <w:num w:numId="7" w16cid:durableId="1748844669">
    <w:abstractNumId w:val="5"/>
  </w:num>
  <w:num w:numId="8" w16cid:durableId="914243930">
    <w:abstractNumId w:val="11"/>
  </w:num>
  <w:num w:numId="9" w16cid:durableId="142046423">
    <w:abstractNumId w:val="9"/>
  </w:num>
  <w:num w:numId="10" w16cid:durableId="1655377423">
    <w:abstractNumId w:val="10"/>
  </w:num>
  <w:num w:numId="11" w16cid:durableId="1171914792">
    <w:abstractNumId w:val="6"/>
  </w:num>
  <w:num w:numId="12" w16cid:durableId="873092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2F"/>
    <w:rsid w:val="0000556B"/>
    <w:rsid w:val="000103DD"/>
    <w:rsid w:val="00012C2B"/>
    <w:rsid w:val="0001651D"/>
    <w:rsid w:val="00023A5F"/>
    <w:rsid w:val="00051765"/>
    <w:rsid w:val="000546BF"/>
    <w:rsid w:val="00057D2D"/>
    <w:rsid w:val="00061A6B"/>
    <w:rsid w:val="00064C63"/>
    <w:rsid w:val="00064F53"/>
    <w:rsid w:val="0007568A"/>
    <w:rsid w:val="00076A7D"/>
    <w:rsid w:val="00081E27"/>
    <w:rsid w:val="00086BA5"/>
    <w:rsid w:val="000960C3"/>
    <w:rsid w:val="000964A2"/>
    <w:rsid w:val="000B1115"/>
    <w:rsid w:val="000C3D4E"/>
    <w:rsid w:val="000C651E"/>
    <w:rsid w:val="000C734E"/>
    <w:rsid w:val="000E0323"/>
    <w:rsid w:val="000E778C"/>
    <w:rsid w:val="000F2976"/>
    <w:rsid w:val="001015CD"/>
    <w:rsid w:val="0010524F"/>
    <w:rsid w:val="00112620"/>
    <w:rsid w:val="0011377F"/>
    <w:rsid w:val="00125B82"/>
    <w:rsid w:val="00130482"/>
    <w:rsid w:val="00136ED2"/>
    <w:rsid w:val="0014281A"/>
    <w:rsid w:val="001555A6"/>
    <w:rsid w:val="00155A40"/>
    <w:rsid w:val="001662FB"/>
    <w:rsid w:val="00174D61"/>
    <w:rsid w:val="001775E8"/>
    <w:rsid w:val="00182B92"/>
    <w:rsid w:val="00190C1B"/>
    <w:rsid w:val="001916ED"/>
    <w:rsid w:val="001956B1"/>
    <w:rsid w:val="001B4C93"/>
    <w:rsid w:val="001C0AFF"/>
    <w:rsid w:val="001C5634"/>
    <w:rsid w:val="001E41E8"/>
    <w:rsid w:val="001E69A8"/>
    <w:rsid w:val="001F3A20"/>
    <w:rsid w:val="001F3B9B"/>
    <w:rsid w:val="001F7917"/>
    <w:rsid w:val="00200010"/>
    <w:rsid w:val="002014ED"/>
    <w:rsid w:val="0020163F"/>
    <w:rsid w:val="00203808"/>
    <w:rsid w:val="002055E3"/>
    <w:rsid w:val="00215047"/>
    <w:rsid w:val="00220AF3"/>
    <w:rsid w:val="002215E4"/>
    <w:rsid w:val="00230699"/>
    <w:rsid w:val="00240D76"/>
    <w:rsid w:val="00250A21"/>
    <w:rsid w:val="00255E80"/>
    <w:rsid w:val="0025732D"/>
    <w:rsid w:val="00264439"/>
    <w:rsid w:val="00273072"/>
    <w:rsid w:val="00276D15"/>
    <w:rsid w:val="00277661"/>
    <w:rsid w:val="00281786"/>
    <w:rsid w:val="002839A7"/>
    <w:rsid w:val="002A3722"/>
    <w:rsid w:val="002A776F"/>
    <w:rsid w:val="002B276A"/>
    <w:rsid w:val="002B32AE"/>
    <w:rsid w:val="002B7BC3"/>
    <w:rsid w:val="002B7E79"/>
    <w:rsid w:val="002C18AA"/>
    <w:rsid w:val="002C1B39"/>
    <w:rsid w:val="002C3448"/>
    <w:rsid w:val="002D0DBD"/>
    <w:rsid w:val="002D21DB"/>
    <w:rsid w:val="002D4199"/>
    <w:rsid w:val="002E1A68"/>
    <w:rsid w:val="002E330D"/>
    <w:rsid w:val="002F4A4D"/>
    <w:rsid w:val="00304FE7"/>
    <w:rsid w:val="00305395"/>
    <w:rsid w:val="0031249F"/>
    <w:rsid w:val="003225E5"/>
    <w:rsid w:val="00324A12"/>
    <w:rsid w:val="00325401"/>
    <w:rsid w:val="00332B6D"/>
    <w:rsid w:val="00341E8D"/>
    <w:rsid w:val="003468CD"/>
    <w:rsid w:val="00356979"/>
    <w:rsid w:val="00364D65"/>
    <w:rsid w:val="00366E43"/>
    <w:rsid w:val="00375244"/>
    <w:rsid w:val="00380832"/>
    <w:rsid w:val="00380926"/>
    <w:rsid w:val="00382DC5"/>
    <w:rsid w:val="00390770"/>
    <w:rsid w:val="00393502"/>
    <w:rsid w:val="00394863"/>
    <w:rsid w:val="003A2019"/>
    <w:rsid w:val="003A24FD"/>
    <w:rsid w:val="003B55D6"/>
    <w:rsid w:val="003B5809"/>
    <w:rsid w:val="003C4DAD"/>
    <w:rsid w:val="003D2707"/>
    <w:rsid w:val="003D64BE"/>
    <w:rsid w:val="003E37DB"/>
    <w:rsid w:val="003E4D74"/>
    <w:rsid w:val="003F35D5"/>
    <w:rsid w:val="00400179"/>
    <w:rsid w:val="00402C20"/>
    <w:rsid w:val="00403C6B"/>
    <w:rsid w:val="00406013"/>
    <w:rsid w:val="00414D45"/>
    <w:rsid w:val="00417E6F"/>
    <w:rsid w:val="00425993"/>
    <w:rsid w:val="00432997"/>
    <w:rsid w:val="00434375"/>
    <w:rsid w:val="004348EA"/>
    <w:rsid w:val="00435E64"/>
    <w:rsid w:val="00441300"/>
    <w:rsid w:val="00441909"/>
    <w:rsid w:val="0044495D"/>
    <w:rsid w:val="004458B7"/>
    <w:rsid w:val="004460BC"/>
    <w:rsid w:val="00447B98"/>
    <w:rsid w:val="004633F2"/>
    <w:rsid w:val="0046542E"/>
    <w:rsid w:val="00467769"/>
    <w:rsid w:val="004722D0"/>
    <w:rsid w:val="0047319E"/>
    <w:rsid w:val="0047485B"/>
    <w:rsid w:val="00493CAF"/>
    <w:rsid w:val="00494E35"/>
    <w:rsid w:val="00495F01"/>
    <w:rsid w:val="004966EC"/>
    <w:rsid w:val="004A27F2"/>
    <w:rsid w:val="004B4DA8"/>
    <w:rsid w:val="004B5447"/>
    <w:rsid w:val="004C2EFB"/>
    <w:rsid w:val="004D10CD"/>
    <w:rsid w:val="004D64A9"/>
    <w:rsid w:val="004E5800"/>
    <w:rsid w:val="004F6675"/>
    <w:rsid w:val="005059F4"/>
    <w:rsid w:val="00517431"/>
    <w:rsid w:val="005203E9"/>
    <w:rsid w:val="0052596D"/>
    <w:rsid w:val="00531D97"/>
    <w:rsid w:val="0054104E"/>
    <w:rsid w:val="00543281"/>
    <w:rsid w:val="005450C5"/>
    <w:rsid w:val="00552504"/>
    <w:rsid w:val="005613BB"/>
    <w:rsid w:val="00561E97"/>
    <w:rsid w:val="0056548A"/>
    <w:rsid w:val="005714AF"/>
    <w:rsid w:val="00573321"/>
    <w:rsid w:val="005771A2"/>
    <w:rsid w:val="00580C21"/>
    <w:rsid w:val="00597F30"/>
    <w:rsid w:val="005A2BBF"/>
    <w:rsid w:val="005A6D41"/>
    <w:rsid w:val="005B0114"/>
    <w:rsid w:val="005B0E46"/>
    <w:rsid w:val="005D544A"/>
    <w:rsid w:val="005D546E"/>
    <w:rsid w:val="005D73FB"/>
    <w:rsid w:val="005E20A9"/>
    <w:rsid w:val="005F1F3E"/>
    <w:rsid w:val="005F448A"/>
    <w:rsid w:val="005F488A"/>
    <w:rsid w:val="005F4CE7"/>
    <w:rsid w:val="005F6B5E"/>
    <w:rsid w:val="00607892"/>
    <w:rsid w:val="006136F0"/>
    <w:rsid w:val="00615C12"/>
    <w:rsid w:val="0062355F"/>
    <w:rsid w:val="006247B7"/>
    <w:rsid w:val="00626F14"/>
    <w:rsid w:val="0063098A"/>
    <w:rsid w:val="00640C00"/>
    <w:rsid w:val="00641E19"/>
    <w:rsid w:val="00643BAC"/>
    <w:rsid w:val="00645694"/>
    <w:rsid w:val="00661687"/>
    <w:rsid w:val="00664670"/>
    <w:rsid w:val="006671F6"/>
    <w:rsid w:val="00672DAC"/>
    <w:rsid w:val="00674D7C"/>
    <w:rsid w:val="0067715A"/>
    <w:rsid w:val="00680A6C"/>
    <w:rsid w:val="00680C45"/>
    <w:rsid w:val="006816BB"/>
    <w:rsid w:val="006820B1"/>
    <w:rsid w:val="006845AE"/>
    <w:rsid w:val="0068634B"/>
    <w:rsid w:val="00696BD2"/>
    <w:rsid w:val="00697E9C"/>
    <w:rsid w:val="006A02F4"/>
    <w:rsid w:val="006B538B"/>
    <w:rsid w:val="006B6EF1"/>
    <w:rsid w:val="006C10FE"/>
    <w:rsid w:val="006D26BD"/>
    <w:rsid w:val="006D75A1"/>
    <w:rsid w:val="006D78FC"/>
    <w:rsid w:val="006E3269"/>
    <w:rsid w:val="006F2BC3"/>
    <w:rsid w:val="00702BB8"/>
    <w:rsid w:val="00705DF2"/>
    <w:rsid w:val="00716534"/>
    <w:rsid w:val="00716EB3"/>
    <w:rsid w:val="00717A5A"/>
    <w:rsid w:val="007234D3"/>
    <w:rsid w:val="00723B4D"/>
    <w:rsid w:val="00725272"/>
    <w:rsid w:val="00735682"/>
    <w:rsid w:val="00735B75"/>
    <w:rsid w:val="00743049"/>
    <w:rsid w:val="0074351A"/>
    <w:rsid w:val="00743D48"/>
    <w:rsid w:val="00746596"/>
    <w:rsid w:val="00752B89"/>
    <w:rsid w:val="0076160D"/>
    <w:rsid w:val="00772547"/>
    <w:rsid w:val="00773458"/>
    <w:rsid w:val="00775C13"/>
    <w:rsid w:val="00787D7C"/>
    <w:rsid w:val="007975D2"/>
    <w:rsid w:val="007A0608"/>
    <w:rsid w:val="007B5B51"/>
    <w:rsid w:val="007B659C"/>
    <w:rsid w:val="007C0F08"/>
    <w:rsid w:val="007D6B36"/>
    <w:rsid w:val="007E477D"/>
    <w:rsid w:val="007F482E"/>
    <w:rsid w:val="007F755A"/>
    <w:rsid w:val="00802BC1"/>
    <w:rsid w:val="00803334"/>
    <w:rsid w:val="00805C94"/>
    <w:rsid w:val="00811459"/>
    <w:rsid w:val="00820697"/>
    <w:rsid w:val="00831A28"/>
    <w:rsid w:val="008422B0"/>
    <w:rsid w:val="0084348F"/>
    <w:rsid w:val="008546DE"/>
    <w:rsid w:val="00864222"/>
    <w:rsid w:val="00873E9F"/>
    <w:rsid w:val="008751DB"/>
    <w:rsid w:val="008757F3"/>
    <w:rsid w:val="00876CDF"/>
    <w:rsid w:val="00885E03"/>
    <w:rsid w:val="00891991"/>
    <w:rsid w:val="00891F20"/>
    <w:rsid w:val="00895E54"/>
    <w:rsid w:val="008A22C8"/>
    <w:rsid w:val="008A2FFE"/>
    <w:rsid w:val="008B0937"/>
    <w:rsid w:val="008B0CFC"/>
    <w:rsid w:val="008B3E58"/>
    <w:rsid w:val="008B72BA"/>
    <w:rsid w:val="008C187E"/>
    <w:rsid w:val="008C30C6"/>
    <w:rsid w:val="008D2959"/>
    <w:rsid w:val="008D7EED"/>
    <w:rsid w:val="008E0EC2"/>
    <w:rsid w:val="008E2727"/>
    <w:rsid w:val="008E55D0"/>
    <w:rsid w:val="008F7C4A"/>
    <w:rsid w:val="00913BFA"/>
    <w:rsid w:val="00916049"/>
    <w:rsid w:val="0093012A"/>
    <w:rsid w:val="00933370"/>
    <w:rsid w:val="00933C9C"/>
    <w:rsid w:val="0094165E"/>
    <w:rsid w:val="009545BE"/>
    <w:rsid w:val="00963826"/>
    <w:rsid w:val="00967426"/>
    <w:rsid w:val="0097004E"/>
    <w:rsid w:val="00980782"/>
    <w:rsid w:val="009816D1"/>
    <w:rsid w:val="009831BF"/>
    <w:rsid w:val="009832B4"/>
    <w:rsid w:val="00991484"/>
    <w:rsid w:val="00991FF7"/>
    <w:rsid w:val="009A4892"/>
    <w:rsid w:val="009A7D0D"/>
    <w:rsid w:val="009B20A3"/>
    <w:rsid w:val="009C435A"/>
    <w:rsid w:val="009D25A1"/>
    <w:rsid w:val="009D763D"/>
    <w:rsid w:val="009E38B8"/>
    <w:rsid w:val="009E486E"/>
    <w:rsid w:val="009E4CE9"/>
    <w:rsid w:val="009E5622"/>
    <w:rsid w:val="009E61A6"/>
    <w:rsid w:val="00A01766"/>
    <w:rsid w:val="00A20389"/>
    <w:rsid w:val="00A31509"/>
    <w:rsid w:val="00A43DCD"/>
    <w:rsid w:val="00A47878"/>
    <w:rsid w:val="00A53562"/>
    <w:rsid w:val="00A56DB7"/>
    <w:rsid w:val="00A56DCC"/>
    <w:rsid w:val="00A6530B"/>
    <w:rsid w:val="00A71E9B"/>
    <w:rsid w:val="00A745D9"/>
    <w:rsid w:val="00A75714"/>
    <w:rsid w:val="00A86A36"/>
    <w:rsid w:val="00A913C9"/>
    <w:rsid w:val="00A95498"/>
    <w:rsid w:val="00A96884"/>
    <w:rsid w:val="00A9697D"/>
    <w:rsid w:val="00AA33A2"/>
    <w:rsid w:val="00AB40CC"/>
    <w:rsid w:val="00AB747D"/>
    <w:rsid w:val="00AC28B4"/>
    <w:rsid w:val="00AC2B2B"/>
    <w:rsid w:val="00AC2DDF"/>
    <w:rsid w:val="00AC377D"/>
    <w:rsid w:val="00AC505F"/>
    <w:rsid w:val="00AD424C"/>
    <w:rsid w:val="00AD613B"/>
    <w:rsid w:val="00AE583E"/>
    <w:rsid w:val="00AE746C"/>
    <w:rsid w:val="00AF60AE"/>
    <w:rsid w:val="00B0575A"/>
    <w:rsid w:val="00B06F38"/>
    <w:rsid w:val="00B14462"/>
    <w:rsid w:val="00B306D1"/>
    <w:rsid w:val="00B30F84"/>
    <w:rsid w:val="00B350FA"/>
    <w:rsid w:val="00B35731"/>
    <w:rsid w:val="00B37765"/>
    <w:rsid w:val="00B42516"/>
    <w:rsid w:val="00B50567"/>
    <w:rsid w:val="00B62050"/>
    <w:rsid w:val="00B65EAC"/>
    <w:rsid w:val="00B66BC4"/>
    <w:rsid w:val="00B80048"/>
    <w:rsid w:val="00B81293"/>
    <w:rsid w:val="00B826C4"/>
    <w:rsid w:val="00B827F9"/>
    <w:rsid w:val="00B83519"/>
    <w:rsid w:val="00B909BF"/>
    <w:rsid w:val="00B97611"/>
    <w:rsid w:val="00BA2865"/>
    <w:rsid w:val="00BB736E"/>
    <w:rsid w:val="00BC4F02"/>
    <w:rsid w:val="00BD41B2"/>
    <w:rsid w:val="00BD662C"/>
    <w:rsid w:val="00BE5B81"/>
    <w:rsid w:val="00BE5E98"/>
    <w:rsid w:val="00BF0280"/>
    <w:rsid w:val="00C00B33"/>
    <w:rsid w:val="00C01481"/>
    <w:rsid w:val="00C018FF"/>
    <w:rsid w:val="00C1204C"/>
    <w:rsid w:val="00C14969"/>
    <w:rsid w:val="00C156BE"/>
    <w:rsid w:val="00C21395"/>
    <w:rsid w:val="00C24309"/>
    <w:rsid w:val="00C24EDE"/>
    <w:rsid w:val="00C34C82"/>
    <w:rsid w:val="00C365EB"/>
    <w:rsid w:val="00C74D43"/>
    <w:rsid w:val="00C8585F"/>
    <w:rsid w:val="00C90668"/>
    <w:rsid w:val="00C927C6"/>
    <w:rsid w:val="00C94D93"/>
    <w:rsid w:val="00CA3848"/>
    <w:rsid w:val="00CB20C0"/>
    <w:rsid w:val="00CC042A"/>
    <w:rsid w:val="00CD7BB3"/>
    <w:rsid w:val="00CE3602"/>
    <w:rsid w:val="00CE679C"/>
    <w:rsid w:val="00CF05D2"/>
    <w:rsid w:val="00CF1F7E"/>
    <w:rsid w:val="00CF54F4"/>
    <w:rsid w:val="00D00865"/>
    <w:rsid w:val="00D036E0"/>
    <w:rsid w:val="00D07889"/>
    <w:rsid w:val="00D10526"/>
    <w:rsid w:val="00D111C5"/>
    <w:rsid w:val="00D15674"/>
    <w:rsid w:val="00D32ADD"/>
    <w:rsid w:val="00D37E16"/>
    <w:rsid w:val="00D44E30"/>
    <w:rsid w:val="00D5752C"/>
    <w:rsid w:val="00D5773C"/>
    <w:rsid w:val="00D60329"/>
    <w:rsid w:val="00D608A5"/>
    <w:rsid w:val="00D66399"/>
    <w:rsid w:val="00D66DEF"/>
    <w:rsid w:val="00D71723"/>
    <w:rsid w:val="00D84A63"/>
    <w:rsid w:val="00D854D3"/>
    <w:rsid w:val="00DA71E9"/>
    <w:rsid w:val="00DB566D"/>
    <w:rsid w:val="00DC7C22"/>
    <w:rsid w:val="00DD0075"/>
    <w:rsid w:val="00DD563D"/>
    <w:rsid w:val="00DD7587"/>
    <w:rsid w:val="00DF4640"/>
    <w:rsid w:val="00E067E8"/>
    <w:rsid w:val="00E06A1A"/>
    <w:rsid w:val="00E175E4"/>
    <w:rsid w:val="00E44691"/>
    <w:rsid w:val="00E46A20"/>
    <w:rsid w:val="00E5122F"/>
    <w:rsid w:val="00E5718F"/>
    <w:rsid w:val="00E64391"/>
    <w:rsid w:val="00E6753E"/>
    <w:rsid w:val="00E72C74"/>
    <w:rsid w:val="00E7450F"/>
    <w:rsid w:val="00E932EF"/>
    <w:rsid w:val="00E953AA"/>
    <w:rsid w:val="00EA09C0"/>
    <w:rsid w:val="00EA75B8"/>
    <w:rsid w:val="00EC086A"/>
    <w:rsid w:val="00EC1242"/>
    <w:rsid w:val="00EC4D07"/>
    <w:rsid w:val="00EC6C98"/>
    <w:rsid w:val="00EC7EBC"/>
    <w:rsid w:val="00ED05B1"/>
    <w:rsid w:val="00ED0D44"/>
    <w:rsid w:val="00ED178A"/>
    <w:rsid w:val="00ED1A52"/>
    <w:rsid w:val="00ED1DC0"/>
    <w:rsid w:val="00EE089E"/>
    <w:rsid w:val="00EE13AE"/>
    <w:rsid w:val="00EE7567"/>
    <w:rsid w:val="00EE75BF"/>
    <w:rsid w:val="00EF51E7"/>
    <w:rsid w:val="00F00BA3"/>
    <w:rsid w:val="00F169C0"/>
    <w:rsid w:val="00F24B3E"/>
    <w:rsid w:val="00F25547"/>
    <w:rsid w:val="00F261EB"/>
    <w:rsid w:val="00F27C93"/>
    <w:rsid w:val="00F318F9"/>
    <w:rsid w:val="00F37187"/>
    <w:rsid w:val="00F44863"/>
    <w:rsid w:val="00F56B2E"/>
    <w:rsid w:val="00F60722"/>
    <w:rsid w:val="00F6131E"/>
    <w:rsid w:val="00F61B75"/>
    <w:rsid w:val="00F62277"/>
    <w:rsid w:val="00F628BB"/>
    <w:rsid w:val="00F63145"/>
    <w:rsid w:val="00F64D36"/>
    <w:rsid w:val="00F667EB"/>
    <w:rsid w:val="00F73F6C"/>
    <w:rsid w:val="00F743CB"/>
    <w:rsid w:val="00F77A76"/>
    <w:rsid w:val="00F82366"/>
    <w:rsid w:val="00FA3CF7"/>
    <w:rsid w:val="00FA6DD1"/>
    <w:rsid w:val="00FB2A48"/>
    <w:rsid w:val="00FB60A4"/>
    <w:rsid w:val="00FC2F36"/>
    <w:rsid w:val="00FC7824"/>
    <w:rsid w:val="00FD445F"/>
    <w:rsid w:val="00FE1C30"/>
    <w:rsid w:val="00FE37F8"/>
    <w:rsid w:val="00FF21D6"/>
    <w:rsid w:val="00FF5531"/>
    <w:rsid w:val="00FF68B6"/>
    <w:rsid w:val="00FF6AE9"/>
    <w:rsid w:val="0F940F8A"/>
    <w:rsid w:val="3C292F1F"/>
    <w:rsid w:val="43A0D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6368"/>
  <w15:chartTrackingRefBased/>
  <w15:docId w15:val="{F8D87145-1C75-41AD-B0B9-68CEEAB9BA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22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76C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C2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80C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C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0C2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80C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0C21"/>
    <w:rPr>
      <w:vertAlign w:val="superscript"/>
    </w:rPr>
  </w:style>
  <w:style w:type="table" w:styleId="TableGrid">
    <w:name w:val="Table Grid"/>
    <w:basedOn w:val="TableNormal"/>
    <w:uiPriority w:val="39"/>
    <w:rsid w:val="00831A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0103DD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086BA5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C1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4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2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64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2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42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0A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19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4B3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56B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956B1"/>
  </w:style>
  <w:style w:type="paragraph" w:styleId="Footer">
    <w:name w:val="footer"/>
    <w:basedOn w:val="Normal"/>
    <w:link w:val="FooterChar"/>
    <w:uiPriority w:val="99"/>
    <w:semiHidden/>
    <w:unhideWhenUsed/>
    <w:rsid w:val="001956B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9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nergystar.gov/partner_resources/products_partner_resources/brand_owner_resources/unit_shipment_data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nergystar.gov/partner_resources/products_partner_resources/brand_owner_resources/unit_shipment_data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naseo.org/members-state?State=FL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hotwatersolutionsnw.org/partners" TargetMode="Externa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fficiencymaine.com/at-home/residential-forms/" TargetMode="External"/><Relationship Id="rId2" Type="http://schemas.openxmlformats.org/officeDocument/2006/relationships/hyperlink" Target="https://www.efficiencymaine.com/" TargetMode="External"/><Relationship Id="rId1" Type="http://schemas.openxmlformats.org/officeDocument/2006/relationships/hyperlink" Target="https://www.energy.ca.gov/programs-and-topics/programs/building-energy-efficiency-standards" TargetMode="External"/><Relationship Id="rId5" Type="http://schemas.openxmlformats.org/officeDocument/2006/relationships/hyperlink" Target="https://www.efficiencymaine.com/residential-registered-vendors/" TargetMode="External"/><Relationship Id="rId4" Type="http://schemas.openxmlformats.org/officeDocument/2006/relationships/hyperlink" Target="https://www.efficiencymaine.com/at-home/vendor-loc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NEE22</b:Tag>
    <b:SourceType>Report</b:SourceType>
    <b:Guid>{21D4108C-9CC3-481C-AC7F-F0880742F50D}</b:Guid>
    <b:Author>
      <b:Author>
        <b:Corporate>NEEA</b:Corporate>
      </b:Author>
    </b:Author>
    <b:Title>Northwest Heat Pump Water Heater Market Progress Evaluation Report #6</b:Title>
    <b:Year>2022</b:Year>
    <b:YearAccessed>2022</b:YearAccessed>
    <b:Publisher>NEEA</b:Publisher>
    <b:URL>https://neea.org/resources/northwest-heat-pump-water-heater-market-progress-evaluation-report-6#:~:text=The%20Northwest%20Energy%20Efficiency%20Alliance%20%28NEEA%29%20contracted%20with,inform%20and%20refine%20program%20interventions%20in%20the%20market.</b:URL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0E669-D6B3-4617-A61D-F075AA36BA78}"/>
</file>

<file path=customXml/itemProps2.xml><?xml version="1.0" encoding="utf-8"?>
<ds:datastoreItem xmlns:ds="http://schemas.openxmlformats.org/officeDocument/2006/customXml" ds:itemID="{2417408B-D280-44A8-A1B4-2F0E073F6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0F933-BF7F-4ED2-A232-1E612FC72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9E790F-37BD-46F4-9E05-F84F1F2EC725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Rodriguez-Feo Bermudez, Eduardo</dc:creator>
  <keywords/>
  <dc:description/>
  <lastModifiedBy>Degan, Charles P</lastModifiedBy>
  <revision>397</revision>
  <dcterms:created xsi:type="dcterms:W3CDTF">2023-06-23T15:53:00.0000000Z</dcterms:created>
  <dcterms:modified xsi:type="dcterms:W3CDTF">2024-06-12T00:37:46.4063753Z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e1f3a0ae-c531-311a-b931-7b0d8bf9254c</vt:lpwstr>
  </property>
  <property fmtid="{D5CDD505-2E9C-101B-9397-08002B2CF9AE}" pid="4" name="ContentTypeId">
    <vt:lpwstr>0x0101002A7F5E3FD5385046B8A83AACB83867DB</vt:lpwstr>
  </property>
  <property fmtid="{D5CDD505-2E9C-101B-9397-08002B2CF9AE}" pid="5" name="MediaServiceImageTags">
    <vt:lpwstr/>
  </property>
</Properties>
</file>