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60F" w:rsidRDefault="006B773F" w14:paraId="42989A61" w14:textId="77777777">
      <w:pPr>
        <w:rPr>
          <w:b/>
        </w:rPr>
      </w:pPr>
      <w:sdt>
        <w:sdtPr>
          <w:tag w:val="goog_rdk_0"/>
          <w:id w:val="-1112657442"/>
        </w:sdtPr>
        <w:sdtEndPr/>
        <w:sdtContent/>
      </w:sdt>
      <w:r w:rsidR="00EC21DE">
        <w:rPr>
          <w:b/>
        </w:rPr>
        <w:t>Building Science Education Solution Center – Combustion Safety</w:t>
      </w:r>
    </w:p>
    <w:p w:rsidR="004F460F" w:rsidRDefault="00EC21DE" w14:paraId="42989A62" w14:textId="77777777">
      <w:r>
        <w:t>Proficiency Level 2: Understand</w:t>
      </w:r>
    </w:p>
    <w:p w:rsidR="004F460F" w:rsidRDefault="00EC21DE" w14:paraId="42989A63" w14:textId="77777777">
      <w:r>
        <w:rPr>
          <w:b/>
          <w:u w:val="single"/>
        </w:rPr>
        <w:t>Learning Objective 2.1:</w:t>
      </w:r>
    </w:p>
    <w:p w:rsidR="004F460F" w:rsidRDefault="00F62A28" w14:paraId="42989A64" w14:textId="2E4E0DA5">
      <w:pPr>
        <w:numPr>
          <w:ilvl w:val="0"/>
          <w:numId w:val="1"/>
        </w:numPr>
        <w:pBdr>
          <w:top w:val="nil"/>
          <w:left w:val="nil"/>
          <w:bottom w:val="nil"/>
          <w:right w:val="nil"/>
          <w:between w:val="nil"/>
        </w:pBdr>
      </w:pPr>
      <w:r>
        <w:rPr>
          <w:color w:val="000000"/>
        </w:rPr>
        <w:t>Su</w:t>
      </w:r>
      <w:r w:rsidR="000C5C00">
        <w:rPr>
          <w:color w:val="000000"/>
        </w:rPr>
        <w:t>mmarize</w:t>
      </w:r>
      <w:r w:rsidR="00EC21DE">
        <w:rPr>
          <w:color w:val="000000"/>
        </w:rPr>
        <w:t xml:space="preserve"> the main approaches to evaluating combustion safety.</w:t>
      </w:r>
    </w:p>
    <w:p w:rsidR="004F460F" w:rsidRDefault="00EC21DE" w14:paraId="42989A65" w14:textId="77777777">
      <w:r>
        <w:rPr>
          <w:b/>
          <w:u w:val="single"/>
        </w:rPr>
        <w:t>Lecture Notes: 2.1:</w:t>
      </w:r>
    </w:p>
    <w:p w:rsidR="00DE0DC4" w:rsidP="00DE0DC4" w:rsidRDefault="00DE0DC4" w14:paraId="51DFE562" w14:textId="77777777">
      <w:r>
        <w:t>References:</w:t>
      </w:r>
    </w:p>
    <w:p w:rsidR="00DE0DC4" w:rsidP="00DE0DC4" w:rsidRDefault="0028147C" w14:paraId="156FBA5E" w14:textId="03AE5C63">
      <w:r w:rsidR="0028147C">
        <w:rPr/>
        <w:t>Energy.gov</w:t>
      </w:r>
      <w:r w:rsidR="00C26D36">
        <w:rPr/>
        <w:t>.</w:t>
      </w:r>
      <w:r w:rsidR="0028147C">
        <w:rPr/>
        <w:t xml:space="preserve"> </w:t>
      </w:r>
      <w:r w:rsidRPr="77F03702" w:rsidR="00DE0DC4">
        <w:rPr>
          <w:i w:val="1"/>
          <w:iCs w:val="1"/>
        </w:rPr>
        <w:t>Combustion Safety Webinar</w:t>
      </w:r>
      <w:r w:rsidR="00C26D36">
        <w:rPr/>
        <w:t xml:space="preserve">. </w:t>
      </w:r>
      <w:r w:rsidR="001F5E1D">
        <w:rPr/>
        <w:t>Accessed 2024.</w:t>
      </w:r>
      <w:r>
        <w:br/>
      </w:r>
      <w:r>
        <w:tab/>
      </w:r>
      <w:r w:rsidR="001F5E1D">
        <w:rPr/>
        <w:t>&lt;</w:t>
      </w:r>
      <w:r w:rsidR="001F5E1D">
        <w:rPr/>
        <w:t>https://www.energy.gov/sites/prod/files/2015/12/f27/BA%20Combustion%20Safety%20Webi</w:t>
      </w:r>
      <w:r>
        <w:tab/>
      </w:r>
      <w:r w:rsidR="001F5E1D">
        <w:rPr/>
        <w:t>nar%20r3.pdf</w:t>
      </w:r>
      <w:r w:rsidR="001F5E1D">
        <w:rPr/>
        <w:t xml:space="preserve">&gt; </w:t>
      </w:r>
    </w:p>
    <w:p w:rsidRPr="00D005B3" w:rsidR="00DE0DC4" w:rsidP="00DE0DC4" w:rsidRDefault="00307B40" w14:paraId="1B40C1C5" w14:textId="6026019B">
      <w:pPr>
        <w:rPr>
          <w:color w:val="0563C1"/>
        </w:rPr>
      </w:pPr>
      <w:r w:rsidR="00307B40">
        <w:rPr/>
        <w:t>Energy</w:t>
      </w:r>
      <w:r w:rsidR="00307B40">
        <w:rPr/>
        <w:t xml:space="preserve">.gov. </w:t>
      </w:r>
      <w:r w:rsidRPr="77F03702" w:rsidR="00DE0DC4">
        <w:rPr>
          <w:i w:val="1"/>
          <w:iCs w:val="1"/>
        </w:rPr>
        <w:t>Combustion Safety Simplified Test Protocol Field Study</w:t>
      </w:r>
      <w:r w:rsidR="00307B40">
        <w:rPr/>
        <w:t>. Accessed 2024.</w:t>
      </w:r>
      <w:r>
        <w:br/>
      </w:r>
      <w:r>
        <w:tab/>
      </w:r>
      <w:r w:rsidR="009976B4">
        <w:rPr/>
        <w:t>&lt;</w:t>
      </w:r>
      <w:r w:rsidR="00D005B3">
        <w:rPr/>
        <w:t>https://www1.eere.energy.gov/buildings/publications/pdfs/</w:t>
      </w:r>
      <w:r w:rsidR="00D005B3">
        <w:rPr/>
        <w:t>building_america</w:t>
      </w:r>
      <w:r w:rsidR="00D005B3">
        <w:rPr/>
        <w:t>/combustion-</w:t>
      </w:r>
      <w:r>
        <w:tab/>
      </w:r>
      <w:r w:rsidR="00D005B3">
        <w:rPr/>
        <w:t>safety-protocol-field.pdf</w:t>
      </w:r>
      <w:r w:rsidR="009976B4">
        <w:rPr/>
        <w:t>&gt;</w:t>
      </w:r>
    </w:p>
    <w:p w:rsidR="004F460F" w:rsidP="00DE0DC4" w:rsidRDefault="00EC21DE" w14:paraId="42989A66" w14:textId="076A7CC2">
      <w:r>
        <w:t>Several approaches to evaluating combustion safety for gas-fired water heaters, boilers, and furnaces are to:</w:t>
      </w:r>
    </w:p>
    <w:p w:rsidR="004F460F" w:rsidRDefault="00EC21DE" w14:paraId="42989A67" w14:textId="77777777">
      <w:pPr>
        <w:numPr>
          <w:ilvl w:val="0"/>
          <w:numId w:val="2"/>
        </w:numPr>
        <w:pBdr>
          <w:top w:val="nil"/>
          <w:left w:val="nil"/>
          <w:bottom w:val="nil"/>
          <w:right w:val="nil"/>
          <w:between w:val="nil"/>
        </w:pBdr>
        <w:spacing w:after="0"/>
      </w:pPr>
      <w:r>
        <w:rPr>
          <w:color w:val="000000"/>
        </w:rPr>
        <w:t>Inspect vents and heat exchangers for corrosion or cracking.</w:t>
      </w:r>
    </w:p>
    <w:p w:rsidR="004F460F" w:rsidRDefault="00EC21DE" w14:paraId="42989A68" w14:textId="77777777">
      <w:pPr>
        <w:numPr>
          <w:ilvl w:val="0"/>
          <w:numId w:val="2"/>
        </w:numPr>
        <w:pBdr>
          <w:top w:val="nil"/>
          <w:left w:val="nil"/>
          <w:bottom w:val="nil"/>
          <w:right w:val="nil"/>
          <w:between w:val="nil"/>
        </w:pBdr>
        <w:spacing w:after="0"/>
      </w:pPr>
      <w:r>
        <w:rPr>
          <w:color w:val="000000"/>
        </w:rPr>
        <w:t>Assess whether the vent is installed according to code.</w:t>
      </w:r>
    </w:p>
    <w:p w:rsidR="004F460F" w:rsidRDefault="00EC21DE" w14:paraId="42989A69" w14:textId="77777777">
      <w:pPr>
        <w:numPr>
          <w:ilvl w:val="0"/>
          <w:numId w:val="2"/>
        </w:numPr>
        <w:pBdr>
          <w:top w:val="nil"/>
          <w:left w:val="nil"/>
          <w:bottom w:val="nil"/>
          <w:right w:val="nil"/>
          <w:between w:val="nil"/>
        </w:pBdr>
        <w:spacing w:after="0"/>
      </w:pPr>
      <w:r>
        <w:rPr>
          <w:color w:val="000000"/>
        </w:rPr>
        <w:t>Measure draft hood spillage time.</w:t>
      </w:r>
    </w:p>
    <w:p w:rsidR="004F460F" w:rsidRDefault="00EC21DE" w14:paraId="42989A6A" w14:textId="77777777">
      <w:pPr>
        <w:numPr>
          <w:ilvl w:val="0"/>
          <w:numId w:val="2"/>
        </w:numPr>
        <w:pBdr>
          <w:top w:val="nil"/>
          <w:left w:val="nil"/>
          <w:bottom w:val="nil"/>
          <w:right w:val="nil"/>
          <w:between w:val="nil"/>
        </w:pBdr>
      </w:pPr>
      <w:r>
        <w:rPr>
          <w:color w:val="000000"/>
        </w:rPr>
        <w:t>Evaluate the amount of carbon monoxide (CO) present in both the appliance flue and in the occupied space.</w:t>
      </w:r>
    </w:p>
    <w:p w:rsidR="00DE0DC4" w:rsidRDefault="00EC21DE" w14:paraId="441D101B" w14:textId="29F79F34">
      <w:pPr>
        <w:rPr>
          <w:b/>
          <w:u w:val="single"/>
        </w:rPr>
      </w:pPr>
      <w:r>
        <w:t>Most combustion safety incidents are related to poor sizing or installation practices. These can be mitigated by following the venting tables present in the National Fuel Gas Codes. These tables have been around since the 1950’s, updated in the 1980’s, and are still a useful resource that helps to solve most problems even today.</w:t>
      </w:r>
    </w:p>
    <w:p w:rsidR="004F460F" w:rsidRDefault="00EC21DE" w14:paraId="42989A70" w14:textId="75832B32">
      <w:r>
        <w:rPr>
          <w:b/>
          <w:u w:val="single"/>
        </w:rPr>
        <w:t>Problem Set 2.1:</w:t>
      </w:r>
    </w:p>
    <w:p w:rsidR="004F460F" w:rsidRDefault="00BA3ACF" w14:paraId="42989A71" w14:textId="43F02B62">
      <w:r>
        <w:t xml:space="preserve">1.) </w:t>
      </w:r>
      <w:r w:rsidR="00EC21DE">
        <w:t>Which of these is not a proper approach for evaluating combustion safety for gas-fired water heaters, boilers, and furnaces?</w:t>
      </w:r>
    </w:p>
    <w:p w:rsidR="004F460F" w:rsidP="00322F91" w:rsidRDefault="00EC21DE" w14:paraId="42989A72" w14:textId="1D7806A3">
      <w:pPr>
        <w:ind w:left="720"/>
      </w:pPr>
      <w:r>
        <w:t>a) Evaluate CO concentrations in both the appliance flue and in the occupied space.</w:t>
      </w:r>
    </w:p>
    <w:p w:rsidR="004F460F" w:rsidP="00322F91" w:rsidRDefault="00EC21DE" w14:paraId="42989A73" w14:textId="20A34E8B">
      <w:pPr>
        <w:ind w:left="720"/>
      </w:pPr>
      <w:r>
        <w:t>b) Assess whether the vent is installed according to code.</w:t>
      </w:r>
    </w:p>
    <w:p w:rsidR="004F460F" w:rsidP="00322F91" w:rsidRDefault="00EC21DE" w14:paraId="42989A74" w14:textId="3408EE3B">
      <w:pPr>
        <w:ind w:left="720"/>
      </w:pPr>
      <w:r>
        <w:t>c) Operate appliances at low settings to prevent buildup of ambient CO.</w:t>
      </w:r>
    </w:p>
    <w:p w:rsidR="004F460F" w:rsidP="00322F91" w:rsidRDefault="00EC21DE" w14:paraId="42989A75" w14:textId="55A82F10">
      <w:pPr>
        <w:ind w:left="720"/>
      </w:pPr>
      <w:r>
        <w:t>d) Inspect vents and heat exchangers for corrosion or cracking.</w:t>
      </w:r>
    </w:p>
    <w:p w:rsidR="004F460F" w:rsidRDefault="00EC21DE" w14:paraId="42989A8B" w14:textId="59A590D4">
      <w:r>
        <w:rPr>
          <w:b/>
          <w:u w:val="single"/>
        </w:rPr>
        <w:t>Learning Objective 2.</w:t>
      </w:r>
      <w:r w:rsidR="00951F66">
        <w:rPr>
          <w:b/>
          <w:u w:val="single"/>
        </w:rPr>
        <w:t>2</w:t>
      </w:r>
      <w:r w:rsidR="007D0C1C">
        <w:rPr>
          <w:b/>
          <w:u w:val="single"/>
        </w:rPr>
        <w:t>:</w:t>
      </w:r>
    </w:p>
    <w:p w:rsidR="004F460F" w:rsidP="77F03702" w:rsidRDefault="00EC722C" w14:paraId="42989A8C" w14:textId="1F0F9E57">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Pr="77F03702" w:rsidR="00EC722C">
        <w:rPr>
          <w:color w:val="000000" w:themeColor="text1" w:themeTint="FF" w:themeShade="FF"/>
        </w:rPr>
        <w:t xml:space="preserve">Explain </w:t>
      </w:r>
      <w:r w:rsidRPr="77F03702" w:rsidR="00EC21DE">
        <w:rPr>
          <w:color w:val="000000" w:themeColor="text1" w:themeTint="FF" w:themeShade="FF"/>
        </w:rPr>
        <w:t xml:space="preserve">the harmful effects of CO spillage and what can be done to prevent </w:t>
      </w:r>
      <w:r w:rsidRPr="77F03702" w:rsidR="00DA0778">
        <w:rPr>
          <w:color w:val="000000" w:themeColor="text1" w:themeTint="FF" w:themeShade="FF"/>
        </w:rPr>
        <w:t>backdrafting</w:t>
      </w:r>
      <w:r w:rsidRPr="77F03702" w:rsidR="00EC21DE">
        <w:rPr>
          <w:color w:val="000000" w:themeColor="text1" w:themeTint="FF" w:themeShade="FF"/>
        </w:rPr>
        <w:t xml:space="preserve"> of CO.</w:t>
      </w:r>
    </w:p>
    <w:p w:rsidR="004F460F" w:rsidRDefault="00EC21DE" w14:paraId="42989A8D" w14:textId="698C6B8C">
      <w:r>
        <w:rPr>
          <w:b/>
          <w:u w:val="single"/>
        </w:rPr>
        <w:t>Lecture Notes 2.</w:t>
      </w:r>
      <w:r w:rsidR="00951F66">
        <w:rPr>
          <w:b/>
          <w:u w:val="single"/>
        </w:rPr>
        <w:t>2</w:t>
      </w:r>
      <w:r>
        <w:rPr>
          <w:b/>
          <w:u w:val="single"/>
        </w:rPr>
        <w:t>:</w:t>
      </w:r>
    </w:p>
    <w:p w:rsidR="00DB5CE7" w:rsidRDefault="00DB5CE7" w14:paraId="758B42CC" w14:textId="79F7599E">
      <w:pPr>
        <w:shd w:val="clear" w:color="auto" w:fill="FFFFFF"/>
        <w:spacing w:before="280" w:after="280" w:line="240" w:lineRule="auto"/>
        <w:rPr>
          <w:color w:val="000000"/>
        </w:rPr>
      </w:pPr>
      <w:r>
        <w:rPr>
          <w:color w:val="000000"/>
        </w:rPr>
        <w:t xml:space="preserve">Reference: </w:t>
      </w:r>
    </w:p>
    <w:p w:rsidRPr="00DA0778" w:rsidR="00DB5CE7" w:rsidP="00DB5CE7" w:rsidRDefault="00DA0778" w14:paraId="7766C143" w14:textId="595CC490">
      <w:pPr/>
      <w:r w:rsidR="00F44A6B">
        <w:rPr/>
        <w:t xml:space="preserve">Pacific Northwest National Laboratory. </w:t>
      </w:r>
      <w:r w:rsidRPr="77F03702" w:rsidR="00DB5CE7">
        <w:rPr>
          <w:i w:val="1"/>
          <w:iCs w:val="1"/>
        </w:rPr>
        <w:t>CCHRC: Combustion Safety Test</w:t>
      </w:r>
      <w:r w:rsidR="00F44A6B">
        <w:rPr/>
        <w:t xml:space="preserve">. Accessed </w:t>
      </w:r>
      <w:r w:rsidR="00DA0778">
        <w:rPr/>
        <w:t xml:space="preserve">2024. </w:t>
      </w:r>
      <w:r>
        <w:br/>
      </w:r>
      <w:r>
        <w:tab/>
      </w:r>
      <w:r w:rsidR="00DA0778">
        <w:rPr/>
        <w:t>&lt;</w:t>
      </w:r>
      <w:r w:rsidR="00DA0778">
        <w:rPr/>
        <w:t>https://basc.pnnl.gov/videos/cchrc-combustion-safety-test</w:t>
      </w:r>
      <w:r w:rsidR="00DA0778">
        <w:rPr/>
        <w:t>&gt;</w:t>
      </w:r>
    </w:p>
    <w:p w:rsidR="004F460F" w:rsidRDefault="00EC21DE" w14:paraId="42989A8E" w14:textId="2E405861">
      <w:pPr>
        <w:shd w:val="clear" w:color="auto" w:fill="FFFFFF"/>
        <w:spacing w:before="280" w:after="280" w:line="240" w:lineRule="auto"/>
        <w:rPr>
          <w:color w:val="000000"/>
        </w:rPr>
      </w:pPr>
      <w:r>
        <w:rPr>
          <w:color w:val="000000"/>
        </w:rPr>
        <w:t xml:space="preserve">Combustion appliances that use indoor air take air from the living space and release carbon monoxide (CO) as a </w:t>
      </w:r>
      <w:r w:rsidR="00062CC5">
        <w:rPr>
          <w:color w:val="000000"/>
        </w:rPr>
        <w:t>by</w:t>
      </w:r>
      <w:r>
        <w:rPr>
          <w:color w:val="000000"/>
        </w:rPr>
        <w:t xml:space="preserve">product. Ideally, appliances should vent all flue gases to the outside, but under certain conditions backdrafting of the flue gases occurs and causes spillage, releasing combustion exhaust gases back out into the living space instead.  </w:t>
      </w:r>
    </w:p>
    <w:p w:rsidR="004F460F" w:rsidRDefault="00EC21DE" w14:paraId="42989A8F" w14:textId="6E8780B3">
      <w:pPr>
        <w:shd w:val="clear" w:color="auto" w:fill="FFFFFF"/>
        <w:spacing w:before="280" w:after="280" w:line="240" w:lineRule="auto"/>
        <w:rPr>
          <w:color w:val="000000"/>
        </w:rPr>
      </w:pPr>
      <w:r>
        <w:rPr>
          <w:color w:val="000000"/>
        </w:rPr>
        <w:t xml:space="preserve">This CO </w:t>
      </w:r>
      <w:r w:rsidR="002E57D2">
        <w:rPr>
          <w:color w:val="000000"/>
        </w:rPr>
        <w:t>spillage</w:t>
      </w:r>
      <w:r>
        <w:rPr>
          <w:color w:val="000000"/>
        </w:rPr>
        <w:t xml:space="preserve"> can cause health issues</w:t>
      </w:r>
      <w:r w:rsidR="00062CC5">
        <w:rPr>
          <w:color w:val="000000"/>
        </w:rPr>
        <w:t>,</w:t>
      </w:r>
      <w:r>
        <w:rPr>
          <w:color w:val="000000"/>
        </w:rPr>
        <w:t xml:space="preserve"> including CO poisoning, which may not be detected immediately as CO is a colorless, odorless, tasteless gas. The symptoms of CO poisoning include headache, dizziness, nausea, and confusion.</w:t>
      </w:r>
    </w:p>
    <w:p w:rsidR="004F460F" w:rsidRDefault="00EC21DE" w14:paraId="42989A90" w14:textId="435986AF">
      <w:pPr>
        <w:shd w:val="clear" w:color="auto" w:fill="FFFFFF"/>
        <w:spacing w:before="280" w:after="280" w:line="240" w:lineRule="auto"/>
        <w:rPr>
          <w:color w:val="000000"/>
        </w:rPr>
      </w:pPr>
      <w:r>
        <w:rPr>
          <w:color w:val="000000"/>
        </w:rPr>
        <w:t>The following table consists of thresholds of CO air concentration and related symptoms according to the Environmental Protection Agency (EPA) and the National Institute for Occupational Safety and Health</w:t>
      </w:r>
      <w:r w:rsidR="00386493">
        <w:rPr>
          <w:color w:val="000000"/>
        </w:rPr>
        <w:t xml:space="preserve"> (NIOSH)</w:t>
      </w:r>
      <w:r>
        <w:rPr>
          <w:color w:val="000000"/>
        </w:rPr>
        <w:t>:</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5"/>
        <w:gridCol w:w="4675"/>
      </w:tblGrid>
      <w:tr w:rsidR="004F460F" w14:paraId="42989A93" w14:textId="77777777">
        <w:tc>
          <w:tcPr>
            <w:tcW w:w="4675" w:type="dxa"/>
            <w:vAlign w:val="center"/>
          </w:tcPr>
          <w:p w:rsidR="004F460F" w:rsidRDefault="00EC21DE" w14:paraId="42989A91" w14:textId="77777777">
            <w:pPr>
              <w:rPr>
                <w:b/>
                <w:color w:val="000000"/>
                <w:u w:val="single"/>
              </w:rPr>
            </w:pPr>
            <w:r>
              <w:rPr>
                <w:b/>
                <w:color w:val="000000"/>
                <w:u w:val="single"/>
              </w:rPr>
              <w:t>CO Air Concentration</w:t>
            </w:r>
          </w:p>
        </w:tc>
        <w:tc>
          <w:tcPr>
            <w:tcW w:w="4675" w:type="dxa"/>
            <w:vAlign w:val="center"/>
          </w:tcPr>
          <w:p w:rsidR="004F460F" w:rsidRDefault="00EC21DE" w14:paraId="42989A92" w14:textId="5F614691">
            <w:pPr>
              <w:rPr>
                <w:b/>
                <w:color w:val="000000"/>
                <w:u w:val="single"/>
              </w:rPr>
            </w:pPr>
            <w:r>
              <w:rPr>
                <w:b/>
                <w:color w:val="000000"/>
                <w:u w:val="single"/>
              </w:rPr>
              <w:t xml:space="preserve">Safety </w:t>
            </w:r>
            <w:r w:rsidR="00386493">
              <w:rPr>
                <w:b/>
                <w:color w:val="000000"/>
                <w:u w:val="single"/>
              </w:rPr>
              <w:t>L</w:t>
            </w:r>
            <w:r>
              <w:rPr>
                <w:b/>
                <w:color w:val="000000"/>
                <w:u w:val="single"/>
              </w:rPr>
              <w:t>imits and Symptoms</w:t>
            </w:r>
          </w:p>
        </w:tc>
      </w:tr>
      <w:tr w:rsidR="004F460F" w14:paraId="42989A96" w14:textId="77777777">
        <w:tc>
          <w:tcPr>
            <w:tcW w:w="4675" w:type="dxa"/>
            <w:vAlign w:val="center"/>
          </w:tcPr>
          <w:p w:rsidR="004F460F" w:rsidRDefault="00EC21DE" w14:paraId="42989A94" w14:textId="77777777">
            <w:pPr>
              <w:rPr>
                <w:color w:val="000000"/>
              </w:rPr>
            </w:pPr>
            <w:r>
              <w:rPr>
                <w:color w:val="000000"/>
              </w:rPr>
              <w:t>9 ppm</w:t>
            </w:r>
          </w:p>
        </w:tc>
        <w:tc>
          <w:tcPr>
            <w:tcW w:w="4675" w:type="dxa"/>
            <w:vAlign w:val="center"/>
          </w:tcPr>
          <w:p w:rsidR="004F460F" w:rsidRDefault="00EC21DE" w14:paraId="42989A95" w14:textId="77777777">
            <w:pPr>
              <w:rPr>
                <w:color w:val="000000"/>
              </w:rPr>
            </w:pPr>
            <w:r>
              <w:rPr>
                <w:color w:val="000000"/>
              </w:rPr>
              <w:t>No ill side effects for 8 hours.</w:t>
            </w:r>
          </w:p>
        </w:tc>
      </w:tr>
      <w:tr w:rsidR="004F460F" w14:paraId="42989A99" w14:textId="77777777">
        <w:tc>
          <w:tcPr>
            <w:tcW w:w="4675" w:type="dxa"/>
            <w:vAlign w:val="center"/>
          </w:tcPr>
          <w:p w:rsidR="004F460F" w:rsidRDefault="00EC21DE" w14:paraId="42989A97" w14:textId="77777777">
            <w:pPr>
              <w:rPr>
                <w:color w:val="000000"/>
              </w:rPr>
            </w:pPr>
            <w:r>
              <w:rPr>
                <w:color w:val="000000"/>
              </w:rPr>
              <w:t>35 ppm</w:t>
            </w:r>
          </w:p>
        </w:tc>
        <w:tc>
          <w:tcPr>
            <w:tcW w:w="4675" w:type="dxa"/>
            <w:vAlign w:val="center"/>
          </w:tcPr>
          <w:p w:rsidR="004F460F" w:rsidRDefault="00EC21DE" w14:paraId="42989A98" w14:textId="77777777">
            <w:pPr>
              <w:rPr>
                <w:color w:val="000000"/>
              </w:rPr>
            </w:pPr>
            <w:r>
              <w:rPr>
                <w:color w:val="000000"/>
              </w:rPr>
              <w:t>No ill side effects for 1 hour.</w:t>
            </w:r>
          </w:p>
        </w:tc>
      </w:tr>
      <w:tr w:rsidR="004F460F" w14:paraId="42989A9C" w14:textId="77777777">
        <w:tc>
          <w:tcPr>
            <w:tcW w:w="4675" w:type="dxa"/>
            <w:vAlign w:val="center"/>
          </w:tcPr>
          <w:p w:rsidR="004F460F" w:rsidRDefault="00EC21DE" w14:paraId="42989A9A" w14:textId="77777777">
            <w:pPr>
              <w:rPr>
                <w:color w:val="000000"/>
              </w:rPr>
            </w:pPr>
            <w:r>
              <w:rPr>
                <w:color w:val="000000"/>
              </w:rPr>
              <w:t>200 ppm</w:t>
            </w:r>
          </w:p>
        </w:tc>
        <w:tc>
          <w:tcPr>
            <w:tcW w:w="4675" w:type="dxa"/>
            <w:vAlign w:val="center"/>
          </w:tcPr>
          <w:p w:rsidR="004F460F" w:rsidRDefault="00EC21DE" w14:paraId="42989A9B" w14:textId="07404D6C">
            <w:pPr>
              <w:rPr>
                <w:color w:val="000000"/>
              </w:rPr>
            </w:pPr>
            <w:r>
              <w:rPr>
                <w:color w:val="000000"/>
              </w:rPr>
              <w:t xml:space="preserve">A slight headache can occur within 2-3 hours.  </w:t>
            </w:r>
            <w:r w:rsidR="00386493">
              <w:rPr>
                <w:color w:val="000000"/>
              </w:rPr>
              <w:t>The s</w:t>
            </w:r>
            <w:r>
              <w:rPr>
                <w:color w:val="000000"/>
              </w:rPr>
              <w:t xml:space="preserve">afety health limit by </w:t>
            </w:r>
            <w:r w:rsidR="00386493">
              <w:rPr>
                <w:color w:val="000000"/>
              </w:rPr>
              <w:t>NIOSH</w:t>
            </w:r>
            <w:r>
              <w:rPr>
                <w:color w:val="000000"/>
              </w:rPr>
              <w:t xml:space="preserve"> is 15 minutes at this concentration of CO.</w:t>
            </w:r>
          </w:p>
        </w:tc>
      </w:tr>
      <w:tr w:rsidR="004F460F" w14:paraId="42989A9F" w14:textId="77777777">
        <w:tc>
          <w:tcPr>
            <w:tcW w:w="4675" w:type="dxa"/>
            <w:vAlign w:val="center"/>
          </w:tcPr>
          <w:p w:rsidR="004F460F" w:rsidRDefault="00EC21DE" w14:paraId="42989A9D" w14:textId="77777777">
            <w:pPr>
              <w:rPr>
                <w:color w:val="000000"/>
              </w:rPr>
            </w:pPr>
            <w:r>
              <w:rPr>
                <w:color w:val="000000"/>
              </w:rPr>
              <w:t>400 ppm</w:t>
            </w:r>
          </w:p>
        </w:tc>
        <w:tc>
          <w:tcPr>
            <w:tcW w:w="4675" w:type="dxa"/>
            <w:vAlign w:val="center"/>
          </w:tcPr>
          <w:p w:rsidR="004F460F" w:rsidRDefault="00EC21DE" w14:paraId="42989A9E" w14:textId="77777777">
            <w:pPr>
              <w:rPr>
                <w:color w:val="000000"/>
              </w:rPr>
            </w:pPr>
            <w:r>
              <w:rPr>
                <w:color w:val="000000"/>
              </w:rPr>
              <w:t>A headache occurs within 2-3 hours.</w:t>
            </w:r>
          </w:p>
        </w:tc>
      </w:tr>
      <w:tr w:rsidR="004F460F" w14:paraId="42989AA2" w14:textId="77777777">
        <w:tc>
          <w:tcPr>
            <w:tcW w:w="4675" w:type="dxa"/>
            <w:vAlign w:val="center"/>
          </w:tcPr>
          <w:p w:rsidR="004F460F" w:rsidRDefault="00EC21DE" w14:paraId="42989AA0" w14:textId="77777777">
            <w:pPr>
              <w:rPr>
                <w:color w:val="000000"/>
              </w:rPr>
            </w:pPr>
            <w:r>
              <w:rPr>
                <w:color w:val="000000"/>
              </w:rPr>
              <w:t>800 ppm</w:t>
            </w:r>
          </w:p>
        </w:tc>
        <w:tc>
          <w:tcPr>
            <w:tcW w:w="4675" w:type="dxa"/>
            <w:vAlign w:val="center"/>
          </w:tcPr>
          <w:p w:rsidR="004F460F" w:rsidRDefault="00EC21DE" w14:paraId="42989AA1" w14:textId="77777777">
            <w:pPr>
              <w:rPr>
                <w:color w:val="000000"/>
              </w:rPr>
            </w:pPr>
            <w:r>
              <w:rPr>
                <w:color w:val="000000"/>
              </w:rPr>
              <w:t>Sickness and twitching of limbs within 1-2 hours, and unconsciousness within 2 hours.</w:t>
            </w:r>
          </w:p>
        </w:tc>
      </w:tr>
      <w:tr w:rsidR="004F460F" w14:paraId="42989AA5" w14:textId="77777777">
        <w:tc>
          <w:tcPr>
            <w:tcW w:w="4675" w:type="dxa"/>
            <w:vAlign w:val="center"/>
          </w:tcPr>
          <w:p w:rsidR="004F460F" w:rsidRDefault="00EC21DE" w14:paraId="42989AA3" w14:textId="77777777">
            <w:pPr>
              <w:rPr>
                <w:color w:val="000000"/>
              </w:rPr>
            </w:pPr>
            <w:r>
              <w:rPr>
                <w:color w:val="000000"/>
              </w:rPr>
              <w:t>1,600 ppm</w:t>
            </w:r>
          </w:p>
        </w:tc>
        <w:tc>
          <w:tcPr>
            <w:tcW w:w="4675" w:type="dxa"/>
            <w:vAlign w:val="center"/>
          </w:tcPr>
          <w:p w:rsidR="004F460F" w:rsidRDefault="00EC21DE" w14:paraId="42989AA4" w14:textId="77777777">
            <w:pPr>
              <w:rPr>
                <w:color w:val="000000"/>
              </w:rPr>
            </w:pPr>
            <w:r>
              <w:rPr>
                <w:color w:val="000000"/>
              </w:rPr>
              <w:t>Headache within 20 minutes, and death within 2 hours.</w:t>
            </w:r>
          </w:p>
        </w:tc>
      </w:tr>
      <w:tr w:rsidR="004F460F" w14:paraId="42989AA8" w14:textId="77777777">
        <w:tc>
          <w:tcPr>
            <w:tcW w:w="4675" w:type="dxa"/>
            <w:vAlign w:val="center"/>
          </w:tcPr>
          <w:p w:rsidR="004F460F" w:rsidRDefault="00EC21DE" w14:paraId="42989AA6" w14:textId="77777777">
            <w:pPr>
              <w:rPr>
                <w:color w:val="000000"/>
              </w:rPr>
            </w:pPr>
            <w:r>
              <w:rPr>
                <w:color w:val="000000"/>
              </w:rPr>
              <w:t>3,200 ppm</w:t>
            </w:r>
          </w:p>
        </w:tc>
        <w:tc>
          <w:tcPr>
            <w:tcW w:w="4675" w:type="dxa"/>
            <w:vAlign w:val="center"/>
          </w:tcPr>
          <w:p w:rsidR="004F460F" w:rsidRDefault="00EC21DE" w14:paraId="42989AA7" w14:textId="77777777">
            <w:pPr>
              <w:rPr>
                <w:color w:val="000000"/>
              </w:rPr>
            </w:pPr>
            <w:r>
              <w:rPr>
                <w:color w:val="000000"/>
              </w:rPr>
              <w:t>Death can occur within 30 minutes.</w:t>
            </w:r>
          </w:p>
        </w:tc>
      </w:tr>
    </w:tbl>
    <w:p w:rsidR="004F460F" w:rsidRDefault="00EC21DE" w14:paraId="42989AA9" w14:textId="48E6D544">
      <w:pPr>
        <w:shd w:val="clear" w:color="auto" w:fill="FFFFFF"/>
        <w:spacing w:before="280" w:after="280" w:line="240" w:lineRule="auto"/>
        <w:rPr>
          <w:color w:val="000000"/>
        </w:rPr>
      </w:pPr>
      <w:r>
        <w:rPr>
          <w:color w:val="000000"/>
        </w:rPr>
        <w:t>It is recommended that a CO detector is placed on every floor of one’s residence, and</w:t>
      </w:r>
      <w:r w:rsidR="00386493">
        <w:rPr>
          <w:color w:val="000000"/>
        </w:rPr>
        <w:t xml:space="preserve"> to</w:t>
      </w:r>
      <w:r>
        <w:rPr>
          <w:color w:val="000000"/>
        </w:rPr>
        <w:t xml:space="preserve"> regularly inspect the chimneys and test CO levels in the house. Backdrafting of CO can occur regardless of the age of the residence and is more likely to occur in the winter</w:t>
      </w:r>
      <w:r w:rsidR="00386493">
        <w:rPr>
          <w:color w:val="000000"/>
        </w:rPr>
        <w:t>,</w:t>
      </w:r>
      <w:r>
        <w:rPr>
          <w:color w:val="000000"/>
        </w:rPr>
        <w:t xml:space="preserve"> when homes are tightly closed to protect against colder temperatures. It is recommended to conduct a combustion safety test whenever there is a change to the heating </w:t>
      </w:r>
      <w:r w:rsidR="00386493">
        <w:rPr>
          <w:color w:val="000000"/>
        </w:rPr>
        <w:t>and</w:t>
      </w:r>
      <w:r>
        <w:rPr>
          <w:color w:val="000000"/>
        </w:rPr>
        <w:t xml:space="preserve"> ventilation system</w:t>
      </w:r>
      <w:r w:rsidR="00386493">
        <w:rPr>
          <w:color w:val="000000"/>
        </w:rPr>
        <w:t>,</w:t>
      </w:r>
      <w:r>
        <w:rPr>
          <w:color w:val="000000"/>
        </w:rPr>
        <w:t xml:space="preserve"> or after air sealing.</w:t>
      </w:r>
    </w:p>
    <w:p w:rsidR="004F460F" w:rsidRDefault="00EC21DE" w14:paraId="42989AAD" w14:textId="126F79EF">
      <w:pPr>
        <w:shd w:val="clear" w:color="auto" w:fill="FFFFFF"/>
        <w:spacing w:before="280" w:after="280" w:line="240" w:lineRule="auto"/>
        <w:rPr>
          <w:color w:val="000000"/>
        </w:rPr>
      </w:pPr>
      <w:r>
        <w:rPr>
          <w:b/>
          <w:color w:val="000000"/>
          <w:u w:val="single"/>
        </w:rPr>
        <w:t>Problem Set 2.</w:t>
      </w:r>
      <w:r w:rsidR="007D0C1C">
        <w:rPr>
          <w:b/>
          <w:color w:val="000000"/>
          <w:u w:val="single"/>
        </w:rPr>
        <w:t>2</w:t>
      </w:r>
      <w:r>
        <w:rPr>
          <w:b/>
          <w:color w:val="000000"/>
          <w:u w:val="single"/>
        </w:rPr>
        <w:t xml:space="preserve">: </w:t>
      </w:r>
    </w:p>
    <w:p w:rsidR="004F460F" w:rsidP="00805E91" w:rsidRDefault="00EC21DE" w14:paraId="42989AAE" w14:textId="45ED5B77">
      <w:pPr>
        <w:shd w:val="clear" w:color="auto" w:fill="FFFFFF"/>
        <w:spacing w:line="240" w:lineRule="auto"/>
        <w:rPr>
          <w:color w:val="000000"/>
        </w:rPr>
      </w:pPr>
      <w:r>
        <w:rPr>
          <w:color w:val="000000"/>
        </w:rPr>
        <w:t>1) At what ambient level of CO can harmful side effects occur?</w:t>
      </w:r>
    </w:p>
    <w:p w:rsidR="004F460F" w:rsidP="00805E91" w:rsidRDefault="00EC21DE" w14:paraId="42989AAF" w14:textId="30226CA7">
      <w:pPr>
        <w:shd w:val="clear" w:color="auto" w:fill="FFFFFF"/>
        <w:spacing w:line="240" w:lineRule="auto"/>
        <w:ind w:left="720"/>
        <w:rPr>
          <w:color w:val="000000"/>
        </w:rPr>
      </w:pPr>
      <w:r>
        <w:rPr>
          <w:color w:val="000000"/>
        </w:rPr>
        <w:t>a) 9 ppm CO</w:t>
      </w:r>
    </w:p>
    <w:p w:rsidR="004F460F" w:rsidP="00805E91" w:rsidRDefault="00EC21DE" w14:paraId="42989AB0" w14:textId="33AF1577">
      <w:pPr>
        <w:shd w:val="clear" w:color="auto" w:fill="FFFFFF"/>
        <w:spacing w:line="240" w:lineRule="auto"/>
        <w:ind w:left="720"/>
        <w:rPr>
          <w:color w:val="000000"/>
        </w:rPr>
      </w:pPr>
      <w:r>
        <w:rPr>
          <w:color w:val="000000"/>
        </w:rPr>
        <w:t>b) 35 ppm CO</w:t>
      </w:r>
    </w:p>
    <w:p w:rsidR="004F460F" w:rsidP="00805E91" w:rsidRDefault="00EC21DE" w14:paraId="42989AB1" w14:textId="5ED7450E">
      <w:pPr>
        <w:shd w:val="clear" w:color="auto" w:fill="FFFFFF"/>
        <w:spacing w:line="240" w:lineRule="auto"/>
        <w:ind w:left="720"/>
        <w:rPr>
          <w:color w:val="000000"/>
        </w:rPr>
      </w:pPr>
      <w:r>
        <w:rPr>
          <w:color w:val="000000"/>
        </w:rPr>
        <w:t>c) 70 ppm CO</w:t>
      </w:r>
    </w:p>
    <w:p w:rsidR="004F460F" w:rsidP="00805E91" w:rsidRDefault="00EC21DE" w14:paraId="42989AB2" w14:textId="0381073A">
      <w:pPr>
        <w:shd w:val="clear" w:color="auto" w:fill="FFFFFF"/>
        <w:spacing w:line="240" w:lineRule="auto"/>
        <w:ind w:left="720"/>
        <w:rPr>
          <w:color w:val="000000"/>
        </w:rPr>
      </w:pPr>
      <w:r>
        <w:rPr>
          <w:color w:val="000000"/>
        </w:rPr>
        <w:t>d) 200 ppm CO</w:t>
      </w:r>
    </w:p>
    <w:p w:rsidR="004F460F" w:rsidP="00805E91" w:rsidRDefault="00EC21DE" w14:paraId="42989AB3" w14:textId="07FEE715">
      <w:pPr>
        <w:shd w:val="clear" w:color="auto" w:fill="FFFFFF"/>
        <w:spacing w:line="240" w:lineRule="auto"/>
        <w:ind w:left="720"/>
        <w:rPr>
          <w:color w:val="000000"/>
        </w:rPr>
      </w:pPr>
      <w:r>
        <w:rPr>
          <w:color w:val="000000"/>
        </w:rPr>
        <w:t>e) All of the above</w:t>
      </w:r>
    </w:p>
    <w:p w:rsidR="004F460F" w:rsidP="00805E91" w:rsidRDefault="00EC21DE" w14:paraId="42989AB4" w14:textId="644F012F">
      <w:pPr>
        <w:shd w:val="clear" w:color="auto" w:fill="FFFFFF"/>
        <w:spacing w:line="240" w:lineRule="auto"/>
        <w:rPr>
          <w:color w:val="000000"/>
        </w:rPr>
      </w:pPr>
      <w:r>
        <w:rPr>
          <w:color w:val="000000"/>
        </w:rPr>
        <w:t>2) How often should you conduct a combustion safety test?</w:t>
      </w:r>
    </w:p>
    <w:p w:rsidR="004F460F" w:rsidP="00805E91" w:rsidRDefault="00EC21DE" w14:paraId="42989AB5" w14:textId="58F3CE25">
      <w:pPr>
        <w:shd w:val="clear" w:color="auto" w:fill="FFFFFF"/>
        <w:spacing w:line="240" w:lineRule="auto"/>
        <w:ind w:left="720"/>
        <w:rPr>
          <w:color w:val="000000"/>
        </w:rPr>
      </w:pPr>
      <w:r>
        <w:rPr>
          <w:color w:val="000000"/>
        </w:rPr>
        <w:t>a) Once every 3 months.</w:t>
      </w:r>
    </w:p>
    <w:p w:rsidR="004F460F" w:rsidP="00805E91" w:rsidRDefault="00EC21DE" w14:paraId="42989AB6" w14:textId="5A9071E9">
      <w:pPr>
        <w:shd w:val="clear" w:color="auto" w:fill="FFFFFF"/>
        <w:spacing w:line="240" w:lineRule="auto"/>
        <w:ind w:left="720"/>
        <w:rPr>
          <w:color w:val="000000"/>
        </w:rPr>
      </w:pPr>
      <w:r>
        <w:rPr>
          <w:color w:val="000000"/>
        </w:rPr>
        <w:t xml:space="preserve">b) Every time there is a change to the heating </w:t>
      </w:r>
      <w:r w:rsidR="00EC368D">
        <w:rPr>
          <w:color w:val="000000"/>
        </w:rPr>
        <w:t>and</w:t>
      </w:r>
      <w:r>
        <w:rPr>
          <w:color w:val="000000"/>
        </w:rPr>
        <w:t xml:space="preserve"> ventilation system</w:t>
      </w:r>
      <w:r w:rsidR="00EC368D">
        <w:rPr>
          <w:color w:val="000000"/>
        </w:rPr>
        <w:t>,</w:t>
      </w:r>
      <w:r>
        <w:rPr>
          <w:color w:val="000000"/>
        </w:rPr>
        <w:t xml:space="preserve"> or after air sealing.</w:t>
      </w:r>
    </w:p>
    <w:p w:rsidR="004F460F" w:rsidP="00805E91" w:rsidRDefault="00EC21DE" w14:paraId="42989AB7" w14:textId="20968F35">
      <w:pPr>
        <w:shd w:val="clear" w:color="auto" w:fill="FFFFFF"/>
        <w:spacing w:line="240" w:lineRule="auto"/>
        <w:ind w:left="720"/>
        <w:rPr>
          <w:color w:val="000000"/>
        </w:rPr>
      </w:pPr>
      <w:r>
        <w:rPr>
          <w:color w:val="000000"/>
        </w:rPr>
        <w:t xml:space="preserve">c) </w:t>
      </w:r>
      <w:r w:rsidR="0068568A">
        <w:rPr>
          <w:color w:val="000000"/>
        </w:rPr>
        <w:t>Any time a part of the heating and ventilation system is changed out due to damage.</w:t>
      </w:r>
    </w:p>
    <w:p w:rsidR="004F460F" w:rsidP="00805E91" w:rsidRDefault="00EC21DE" w14:paraId="42989AB8" w14:textId="2458234D">
      <w:pPr>
        <w:shd w:val="clear" w:color="auto" w:fill="FFFFFF"/>
        <w:spacing w:line="240" w:lineRule="auto"/>
        <w:ind w:left="720"/>
        <w:rPr>
          <w:color w:val="000000"/>
        </w:rPr>
      </w:pPr>
      <w:r>
        <w:rPr>
          <w:color w:val="000000"/>
        </w:rPr>
        <w:t>d) Once every year.</w:t>
      </w:r>
    </w:p>
    <w:sectPr w:rsidR="004F460F">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50971"/>
    <w:multiLevelType w:val="multilevel"/>
    <w:tmpl w:val="A448FA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73665F3F"/>
    <w:multiLevelType w:val="multilevel"/>
    <w:tmpl w:val="75FE21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657925285">
    <w:abstractNumId w:val="1"/>
  </w:num>
  <w:num w:numId="2" w16cid:durableId="629524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0F"/>
    <w:rsid w:val="00051DFC"/>
    <w:rsid w:val="00062CC5"/>
    <w:rsid w:val="000C5C00"/>
    <w:rsid w:val="000D07D9"/>
    <w:rsid w:val="000D2052"/>
    <w:rsid w:val="000E1526"/>
    <w:rsid w:val="000F3793"/>
    <w:rsid w:val="00174FCD"/>
    <w:rsid w:val="00182939"/>
    <w:rsid w:val="001F5E1D"/>
    <w:rsid w:val="00263069"/>
    <w:rsid w:val="0028147C"/>
    <w:rsid w:val="002E57D2"/>
    <w:rsid w:val="00307B40"/>
    <w:rsid w:val="00322F91"/>
    <w:rsid w:val="00386493"/>
    <w:rsid w:val="00433EF5"/>
    <w:rsid w:val="004F22CA"/>
    <w:rsid w:val="004F460F"/>
    <w:rsid w:val="00556412"/>
    <w:rsid w:val="00595B6E"/>
    <w:rsid w:val="005B4830"/>
    <w:rsid w:val="006132C8"/>
    <w:rsid w:val="0068568A"/>
    <w:rsid w:val="006B773F"/>
    <w:rsid w:val="007257D6"/>
    <w:rsid w:val="007D0C1C"/>
    <w:rsid w:val="00803D42"/>
    <w:rsid w:val="00805E91"/>
    <w:rsid w:val="008578D1"/>
    <w:rsid w:val="00913F24"/>
    <w:rsid w:val="0092597F"/>
    <w:rsid w:val="00951F66"/>
    <w:rsid w:val="00981832"/>
    <w:rsid w:val="009976B4"/>
    <w:rsid w:val="009E2CAA"/>
    <w:rsid w:val="00A04F14"/>
    <w:rsid w:val="00A51597"/>
    <w:rsid w:val="00AF4A21"/>
    <w:rsid w:val="00BA3ACF"/>
    <w:rsid w:val="00BB1CF0"/>
    <w:rsid w:val="00C26D36"/>
    <w:rsid w:val="00D005B3"/>
    <w:rsid w:val="00D46905"/>
    <w:rsid w:val="00DA0778"/>
    <w:rsid w:val="00DB5CE7"/>
    <w:rsid w:val="00DE0DC4"/>
    <w:rsid w:val="00EC21DE"/>
    <w:rsid w:val="00EC368D"/>
    <w:rsid w:val="00EC722C"/>
    <w:rsid w:val="00F04E9A"/>
    <w:rsid w:val="00F0611B"/>
    <w:rsid w:val="00F3775F"/>
    <w:rsid w:val="00F44A6B"/>
    <w:rsid w:val="00F62A28"/>
    <w:rsid w:val="02121548"/>
    <w:rsid w:val="0D41DEB5"/>
    <w:rsid w:val="27782F44"/>
    <w:rsid w:val="70E285B9"/>
    <w:rsid w:val="77F03702"/>
    <w:rsid w:val="7DF9D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9A61"/>
  <w15:docId w15:val="{3E53D4D9-2ECC-464E-B25D-7563AAC47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17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17E6"/>
    <w:pPr>
      <w:ind w:left="720"/>
      <w:contextualSpacing/>
    </w:pPr>
  </w:style>
  <w:style w:type="character" w:styleId="Hyperlink">
    <w:name w:val="Hyperlink"/>
    <w:basedOn w:val="DefaultParagraphFont"/>
    <w:uiPriority w:val="99"/>
    <w:unhideWhenUsed/>
    <w:rsid w:val="00C67125"/>
    <w:rPr>
      <w:color w:val="0563C1" w:themeColor="hyperlink"/>
      <w:u w:val="single"/>
    </w:rPr>
  </w:style>
  <w:style w:type="character" w:styleId="UnresolvedMention">
    <w:name w:val="Unresolved Mention"/>
    <w:basedOn w:val="DefaultParagraphFont"/>
    <w:uiPriority w:val="99"/>
    <w:semiHidden/>
    <w:unhideWhenUsed/>
    <w:rsid w:val="00793E2E"/>
    <w:rPr>
      <w:color w:val="605E5C"/>
      <w:shd w:val="clear" w:color="auto" w:fill="E1DFDD"/>
    </w:rPr>
  </w:style>
  <w:style w:type="character" w:styleId="FollowedHyperlink">
    <w:name w:val="FollowedHyperlink"/>
    <w:basedOn w:val="DefaultParagraphFont"/>
    <w:uiPriority w:val="99"/>
    <w:semiHidden/>
    <w:unhideWhenUsed/>
    <w:rsid w:val="009277DA"/>
    <w:rPr>
      <w:color w:val="954F72" w:themeColor="followedHyperlink"/>
      <w:u w:val="single"/>
    </w:rPr>
  </w:style>
  <w:style w:type="table" w:styleId="TableGrid">
    <w:name w:val="Table Grid"/>
    <w:basedOn w:val="TableNormal"/>
    <w:uiPriority w:val="39"/>
    <w:rsid w:val="004F65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D46905"/>
    <w:rPr>
      <w:color w:val="808080"/>
    </w:rPr>
  </w:style>
  <w:style w:type="paragraph" w:styleId="Revision">
    <w:name w:val="Revision"/>
    <w:hidden/>
    <w:uiPriority w:val="99"/>
    <w:semiHidden/>
    <w:rsid w:val="00C2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BqvS1WNP5MAK4dkQkBgP69JlWRw==">AMUW2mXiJCJb1++apgOPMmQEidGI5XqiqOJgJe8GYqasQqwyOHXogqjancSlp04mUFX45f5RN0+s9YbtYcdZG6b0c89EuZQcRABNeKeDB4XvOFeIq2M+MymfbxwQIKrxLQY0yR0X0II5o7a13BPh62m+3GoXgWFvHSAhv5aWOqog/b3dZBuCEOAzSkLPFr9s7KjZWOQkvUDeVUZMc/df+QZs4lDYkKtyt+Z5nXma0J7jKzqNeo1u9fUQ20m9EtCLMY+tTrIloRJWfCjNgV6QoZGHIgt6Q9jkeywIi3Py0Q4D0YND6BuKziI7cI4NR/rePFtYQttMH+OdAeEfwqx8MkwEjboHG2foY7dhyLwmKxeYhlI97MJRIxqpmSZVBX08BSXvqNIBpu00TlyD3e+CTqADIAutasJzM2Nh/RihVqt/aHuQ3n5KvQ9srJe90UvAtg+gCv2YPCa5SAC82hSZWXNlt1DKqADYWRR1xM5eIAh2kkqTMO5UHkhHbe7cyJ4w1j8zrzq+wbo8tSje0NNlHkzigK7cG1THBl21mhlPCpX8sdnQw0XWka/+yvu6LPHsxkiQqw2oQ8692iOFjnqOdtuUz+L3KZlTNmr3q97afT63mp76wwNF8ZUo9kg/hkRquAUI8mkqfUxhpHnBp7oKozeshIpErzZF2KimBkYNy4SGSvuBHAWXvcq7213Jp9ygsk2FLzexh3NqMkgAKepvLWdW6QQ3K3QnCWB9e8RxYzMxZBq8Lfzk424d24gL1eAa1iZf7zacqyhBueVcs9efxu4chrY95Rghpm7Xt0Rds9jTxQlmNHq8A7j9A7pY0tPccy8bAJQ126Aygs/3LEmX0OR13yKTBHq82MakPvOIhMaoFph6hvoaLw4+PQTCif9uNZkzTurujxVYfAMwpwsb4PQckx1cEgsr+om8QFgC9R3Eb+FHy+d5cdY5oHK11tkXrTJ0Zz2zsl3ZRsCktPBI279DlE5vr3mShqj8npcz3lJYJ6sWAWAoY2hbVzEN9zSQGEIAGhvizQT+jTDIXNqwGygU8bw+pYg0a70NCEgXJZx8ZYb5NqKqJj/ZIqg9x1/J9fo2NCjYb0BYymyH+eemmZ7fY3qvj0j743NQbzMZhDQZ9ko3qFaEy0UBBXzbMDwaQyEJG0+qcnaxKlu2KZ4N1/ydQxNJkQhrrY76v3Th67raZud0/o14KbnPBFCLtaCWcx/IptsQ/D6gBms9srstGSjVqHkeVkkZe4O+O4nubzxG7lE06IfHCztfNTEhuPEGvaKTvVmH7PnWnq84p+w+MVxwD2HynGfYd7STLfBzymd7f/9BcXf84uNf7qefS9cE/ndwlir3MLv4QEYvQTkR1dUj6vHTIDq/W/ELgDWsyQWbO/mxXjJbl2AXC4y+zjB5lQRoKsYT8Qvlxkx/1rHvEIfS8Wp8Jg8HjR3DY8Cop4b7OEo3VpiUzR/LygxZsFF+R/AGUUedp7GxemfVvYVwHWVFm1pVHTnB70GkL9Sna3FzwGw+0X0qpWC27W6hlHcQmqJQr05y32YgBrTyB6EtOMGg9ZhBW9OAqFFtoZ2JBIGex2W7QgTdg81Px6t652rUUu5wNZPGNxaJFCuOfGHF9HdZc+RI88NWFcReLrtgK4eTtF3l8Ti6rFNEhyhy6zFxipDGRtb3jPb47D1Yi8B4hxqofhQNTnl2wcyGw03rakyZtQc4dTYmmds2HXWhN2fnVKBbaEOGTYKJCSM2UfBnJLfwfkJtbJRI8VWGYNa2ybDrGwvlj2PO71QzuaC45ge1miEBV1+SJSJf4TO/YNejjb2KlLCutpYe9mrsLYwuhw8m08ZZHKNXQ5Bhpuocdr0GiWywuhZgZEFLxgTVpdrgBODVc/k5ZLOcRQXjxoyRByHwS256TW+LE9HcskL/QHrITlUUKWlPbgdXbilmlerNmOgG7Q9Y5V9wOW6jdWzxel35iVXtQnoGVe3ECCEhJNc6fd+j0hbf/fJeaCLjEN5e72dBeW5Lx4jSLVIXd0dcCAcJKQPqaslTU2uw6+UQNGb9SQXtdE81UKbvUic3ccAgFaKHZEhOe1aiCOrrvOiWbXQOUOMIunBL9HPLtKfEFD36KTE11c804KrjhKPdsx+tjEMnUHb7zyW/n2OsbyuVFhntWTS15BRVXaOEHqzbnQr1BAuElHLZowN9UMrqxtd0mwzXu4vAJUgNYkvrOU9y4Jb5tFZMdPUqeRnrK5QG9id4vIyAR9PV/ElZD1FFLIal8GJQDUlTWsxb22ZbdDAHXoXwYqnbzjFPzTymkQhclyz9tyiJv3IVK4/IfXA5kbjEUEd8sh4Mkb7W5HSNkGxAQYulEbd3QQBtqC4VDVqD0RtmaBOyLBmShPjgvUs+PbrFw1n0pXNjCjv5UkD00m+6z/90jFqVFbZTG8Zaee1J6YRDUR/ASG4PotmXFS2PBLrHxLnWXnI/GbvhQQvUENlUs+QU0wTieBiP8sE6flvHknbNqyMMw2jOG+iaGiozOkj11SozbzIbNcLFltjhbMtim62ahIz0Fcj7wHOAc67JED8C7AM7r1OaXB3QDoGW94SrycNOTgfVF5ykZAn3J12pAiRZBegtDacxHicDgZjMf0ekgNavReeURDCzbIYhU1qPR8hbatRBDGCyL+PJtx9WKrOFF/qJRjXMqoDosYiCTF9f+6DdapUWjEXxb17Ba21h3o9aSiBoEWlAmRssRyxfBFC4IjAcnhu1WDoX0TADqGlEjHaKA/zMW2RKptBOYGSGh/k4XYBeFFQzHYT5LgDbGmTwbLQWDIgdWPix3eOQTKMNK1Igd3BePcgsuwWmA3avPZpaPevjwnkd+ioTZ5CMzDizLY4vhL4Lj6piRDGJV84jHO/lptOMpM2EFtmZ7NCaj7dGvkelDA7kp0ikGGIeVswkhNqn72EIrO7tZR9pmVmyQARzHnZtwWbVrSykqOcYROfdzUeWUii5uWHtGzySQPTHdd/8CE1o1N1DakoyFXyp3b7XIK2T695wYl+kg3zpD2CXxtb4QSz3I4KV5XkQ2jbGSqClPhJB0b6eS98eHOfv4AEl68WuWmrRihK6wu6kpygJYOwb7dsL4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D91440-EC83-475B-9F50-05DA071D65A6}"/>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A7FBEF5-1AF1-4818-BF7D-CAE869C74036}">
  <ds:schemaRefs>
    <ds:schemaRef ds:uri="http://schemas.microsoft.com/sharepoint/v3/contenttype/forms"/>
  </ds:schemaRefs>
</ds:datastoreItem>
</file>

<file path=customXml/itemProps4.xml><?xml version="1.0" encoding="utf-8"?>
<ds:datastoreItem xmlns:ds="http://schemas.openxmlformats.org/officeDocument/2006/customXml" ds:itemID="{B03F1505-1E63-473D-AC47-67C5DBCBD737}">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Degan, Charles P</dc:creator>
  <lastModifiedBy>Degan, Charles P</lastModifiedBy>
  <revision>54</revision>
  <dcterms:created xsi:type="dcterms:W3CDTF">2022-01-25T23:28:00.0000000Z</dcterms:created>
  <dcterms:modified xsi:type="dcterms:W3CDTF">2024-06-11T23:03:43.0049213Z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